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comments.xml" ContentType="application/vnd.openxmlformats-officedocument.wordprocessingml.comments+xml"/>
  <Override PartName="/word/media/image1.png" ContentType="image/png"/>
  <Override PartName="/word/media/image2.png" ContentType="image/png"/>
  <Override PartName="/word/media/image4.jpeg" ContentType="image/jpeg"/>
  <Override PartName="/word/media/image9.jpeg" ContentType="image/jpeg"/>
  <Override PartName="/word/media/image3.png" ContentType="image/png"/>
  <Override PartName="/word/media/image7.png" ContentType="image/png"/>
  <Override PartName="/word/media/image11.png" ContentType="image/png"/>
  <Override PartName="/word/media/image5.jpeg" ContentType="image/jpeg"/>
  <Override PartName="/word/media/image6.jpeg" ContentType="image/jpeg"/>
  <Override PartName="/word/media/image8.jpeg" ContentType="image/jpeg"/>
  <Override PartName="/word/media/image10.jpeg" ContentType="image/jpe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sz w:val="36"/>
          <w:szCs w:val="44"/>
        </w:rPr>
      </w:pPr>
      <w:r>
        <w:rPr>
          <w:sz w:val="36"/>
          <w:szCs w:val="44"/>
        </w:rPr>
        <w:drawing>
          <wp:anchor behindDoc="0" distT="0" distB="0" distL="133350" distR="120650" simplePos="0" locked="0" layoutInCell="1" allowOverlap="1" relativeHeight="2">
            <wp:simplePos x="0" y="0"/>
            <wp:positionH relativeFrom="column">
              <wp:posOffset>0</wp:posOffset>
            </wp:positionH>
            <wp:positionV relativeFrom="paragraph">
              <wp:posOffset>3810</wp:posOffset>
            </wp:positionV>
            <wp:extent cx="1079500" cy="1123950"/>
            <wp:effectExtent l="0" t="0" r="0" b="0"/>
            <wp:wrapTight wrapText="bothSides">
              <wp:wrapPolygon edited="0">
                <wp:start x="-465" y="0"/>
                <wp:lineTo x="-465" y="21147"/>
                <wp:lineTo x="21721" y="21147"/>
                <wp:lineTo x="21721" y="0"/>
                <wp:lineTo x="-465"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079500" cy="1123950"/>
                    </a:xfrm>
                    <a:prstGeom prst="rect">
                      <a:avLst/>
                    </a:prstGeom>
                  </pic:spPr>
                </pic:pic>
              </a:graphicData>
            </a:graphic>
          </wp:anchor>
        </w:drawing>
        <w:drawing>
          <wp:anchor behindDoc="0" distT="0" distB="0" distL="133350" distR="117475" simplePos="0" locked="0" layoutInCell="1" allowOverlap="1" relativeHeight="3">
            <wp:simplePos x="0" y="0"/>
            <wp:positionH relativeFrom="column">
              <wp:posOffset>4954905</wp:posOffset>
            </wp:positionH>
            <wp:positionV relativeFrom="paragraph">
              <wp:posOffset>2540</wp:posOffset>
            </wp:positionV>
            <wp:extent cx="1177925" cy="1122680"/>
            <wp:effectExtent l="0" t="0" r="0" b="0"/>
            <wp:wrapTight wrapText="bothSides">
              <wp:wrapPolygon edited="0">
                <wp:start x="-431" y="0"/>
                <wp:lineTo x="-431" y="21173"/>
                <wp:lineTo x="21650" y="21173"/>
                <wp:lineTo x="21650" y="14234"/>
                <wp:lineTo x="20951" y="11680"/>
                <wp:lineTo x="21650" y="8754"/>
                <wp:lineTo x="21650" y="0"/>
                <wp:lineTo x="-431" y="0"/>
              </wp:wrapPolygon>
            </wp:wrapTight>
            <wp:docPr id="2" name="Imagen 2" descr="https://upload.wikimedia.org/wikipedia/commons/f/fd/Logo_FCA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s://upload.wikimedia.org/wikipedia/commons/f/fd/Logo_FCAyF.png"/>
                    <pic:cNvPicPr>
                      <a:picLocks noChangeAspect="1" noChangeArrowheads="1"/>
                    </pic:cNvPicPr>
                  </pic:nvPicPr>
                  <pic:blipFill>
                    <a:blip r:embed="rId3"/>
                    <a:stretch>
                      <a:fillRect/>
                    </a:stretch>
                  </pic:blipFill>
                  <pic:spPr bwMode="auto">
                    <a:xfrm>
                      <a:off x="0" y="0"/>
                      <a:ext cx="1177925" cy="1122680"/>
                    </a:xfrm>
                    <a:prstGeom prst="rect">
                      <a:avLst/>
                    </a:prstGeom>
                  </pic:spPr>
                </pic:pic>
              </a:graphicData>
            </a:graphic>
          </wp:anchor>
        </w:drawing>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b/>
          <w:b/>
          <w:sz w:val="40"/>
          <w:szCs w:val="44"/>
        </w:rPr>
      </w:pPr>
      <w:r>
        <w:rPr>
          <w:b/>
          <w:sz w:val="40"/>
          <w:szCs w:val="44"/>
        </w:rPr>
      </w:r>
    </w:p>
    <w:p>
      <w:pPr>
        <w:pStyle w:val="Normal"/>
        <w:ind w:hanging="0"/>
        <w:jc w:val="center"/>
        <w:rPr>
          <w:b/>
          <w:b/>
          <w:sz w:val="40"/>
          <w:szCs w:val="44"/>
        </w:rPr>
      </w:pPr>
      <w:r>
        <w:rPr>
          <w:b/>
          <w:sz w:val="40"/>
          <w:szCs w:val="44"/>
        </w:rPr>
        <w:t>UNIVERSIDAD NACIONAL DE LA PLATA</w:t>
      </w:r>
    </w:p>
    <w:p>
      <w:pPr>
        <w:pStyle w:val="Normal"/>
        <w:ind w:hanging="0"/>
        <w:jc w:val="center"/>
        <w:rPr>
          <w:b/>
          <w:b/>
          <w:sz w:val="40"/>
          <w:szCs w:val="44"/>
        </w:rPr>
      </w:pPr>
      <w:r>
        <w:rPr>
          <w:b/>
          <w:sz w:val="40"/>
          <w:szCs w:val="44"/>
        </w:rPr>
        <w:t>FACULTAD DE CIENCIAS AGRARIAS Y FORESTALES</w:t>
      </w:r>
    </w:p>
    <w:p>
      <w:pPr>
        <w:pStyle w:val="Normal"/>
        <w:ind w:hanging="0"/>
        <w:jc w:val="center"/>
        <w:rPr>
          <w:b/>
          <w:b/>
          <w:sz w:val="40"/>
          <w:szCs w:val="44"/>
        </w:rPr>
      </w:pPr>
      <w:r>
        <w:rPr>
          <w:b/>
          <w:sz w:val="40"/>
          <w:szCs w:val="44"/>
        </w:rPr>
        <w:t>CURSO MANEJO Y CONSERVACIÓN DE SUELOS</w:t>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b/>
          <w:b/>
          <w:sz w:val="36"/>
          <w:szCs w:val="44"/>
        </w:rPr>
      </w:pPr>
      <w:r>
        <w:rPr>
          <w:b/>
          <w:sz w:val="36"/>
          <w:szCs w:val="44"/>
        </w:rPr>
        <w:t>MATERIAL PRÁCTICO</w:t>
      </w:r>
    </w:p>
    <w:p>
      <w:pPr>
        <w:pStyle w:val="Normal"/>
        <w:ind w:hanging="0"/>
        <w:jc w:val="center"/>
        <w:rPr>
          <w:b/>
          <w:b/>
          <w:sz w:val="36"/>
          <w:szCs w:val="44"/>
        </w:rPr>
      </w:pPr>
      <w:r>
        <w:rPr>
          <w:b/>
          <w:sz w:val="36"/>
          <w:szCs w:val="44"/>
        </w:rPr>
        <w:t>INGENIERÍA FORESTAL</w:t>
      </w:r>
    </w:p>
    <w:p>
      <w:pPr>
        <w:pStyle w:val="Normal"/>
        <w:ind w:hanging="0"/>
        <w:jc w:val="center"/>
        <w:rPr>
          <w:b/>
          <w:b/>
          <w:i/>
          <w:i/>
          <w:sz w:val="32"/>
          <w:szCs w:val="44"/>
        </w:rPr>
      </w:pPr>
      <w:r>
        <w:rPr>
          <w:b/>
          <w:i/>
          <w:sz w:val="32"/>
          <w:szCs w:val="44"/>
        </w:rPr>
      </w:r>
    </w:p>
    <w:p>
      <w:pPr>
        <w:pStyle w:val="Normal"/>
        <w:ind w:hanging="0"/>
        <w:jc w:val="center"/>
        <w:rPr>
          <w:b/>
          <w:b/>
          <w:i/>
          <w:i/>
          <w:sz w:val="32"/>
          <w:szCs w:val="44"/>
        </w:rPr>
      </w:pPr>
      <w:r>
        <w:rPr>
          <w:b/>
          <w:i/>
          <w:sz w:val="32"/>
          <w:szCs w:val="44"/>
        </w:rPr>
      </w:r>
    </w:p>
    <w:p>
      <w:pPr>
        <w:pStyle w:val="Normal"/>
        <w:ind w:hanging="0"/>
        <w:jc w:val="center"/>
        <w:rPr>
          <w:b/>
          <w:b/>
          <w:i/>
          <w:i/>
          <w:sz w:val="32"/>
          <w:szCs w:val="44"/>
        </w:rPr>
      </w:pPr>
      <w:r>
        <w:rPr>
          <w:b/>
          <w:i/>
          <w:sz w:val="32"/>
          <w:szCs w:val="44"/>
        </w:rPr>
      </w:r>
    </w:p>
    <w:p>
      <w:pPr>
        <w:pStyle w:val="Normal"/>
        <w:ind w:hanging="0"/>
        <w:jc w:val="center"/>
        <w:rPr>
          <w:b/>
          <w:b/>
          <w:i/>
          <w:i/>
          <w:sz w:val="32"/>
          <w:szCs w:val="44"/>
        </w:rPr>
      </w:pPr>
      <w:r>
        <w:rPr>
          <w:b/>
          <w:i/>
          <w:sz w:val="32"/>
          <w:szCs w:val="44"/>
        </w:rPr>
      </w:r>
    </w:p>
    <w:p>
      <w:pPr>
        <w:pStyle w:val="Normal"/>
        <w:ind w:hanging="0"/>
        <w:jc w:val="center"/>
        <w:rPr>
          <w:b/>
          <w:b/>
          <w:i/>
          <w:i/>
          <w:sz w:val="36"/>
          <w:szCs w:val="44"/>
        </w:rPr>
      </w:pPr>
      <w:r>
        <w:rPr>
          <w:b/>
          <w:i/>
          <w:sz w:val="36"/>
          <w:szCs w:val="44"/>
        </w:rPr>
        <w:t>UNIDAD DIDÁCTICA B</w:t>
      </w:r>
    </w:p>
    <w:p>
      <w:pPr>
        <w:pStyle w:val="Normal"/>
        <w:ind w:hanging="0"/>
        <w:jc w:val="center"/>
        <w:rPr>
          <w:b/>
          <w:b/>
          <w:i/>
          <w:i/>
          <w:sz w:val="36"/>
          <w:szCs w:val="44"/>
        </w:rPr>
      </w:pPr>
      <w:r>
        <w:rPr>
          <w:b/>
          <w:i/>
          <w:sz w:val="36"/>
          <w:szCs w:val="44"/>
        </w:rPr>
        <w:t>B3: Erosión Hídrica</w:t>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pStyle w:val="Normal"/>
        <w:ind w:hanging="0"/>
        <w:jc w:val="center"/>
        <w:rPr>
          <w:sz w:val="36"/>
          <w:szCs w:val="44"/>
        </w:rPr>
      </w:pPr>
      <w:r>
        <w:rPr>
          <w:sz w:val="36"/>
          <w:szCs w:val="44"/>
        </w:rPr>
      </w:r>
    </w:p>
    <w:p>
      <w:pPr>
        <w:sectPr>
          <w:headerReference w:type="default" r:id="rId4"/>
          <w:footerReference w:type="default" r:id="rId5"/>
          <w:type w:val="nextPage"/>
          <w:pgSz w:w="11906" w:h="16838"/>
          <w:pgMar w:left="1134" w:right="1134" w:header="709" w:top="1134" w:footer="709" w:bottom="1134" w:gutter="0"/>
          <w:pgNumType w:start="1" w:fmt="decimal"/>
          <w:formProt w:val="false"/>
          <w:textDirection w:val="lrTb"/>
          <w:docGrid w:type="default" w:linePitch="360" w:charSpace="4096"/>
        </w:sectPr>
        <w:pStyle w:val="Normal"/>
        <w:ind w:hanging="0"/>
        <w:jc w:val="center"/>
        <w:rPr>
          <w:kern w:val="2"/>
        </w:rPr>
      </w:pPr>
      <w:r>
        <w:rPr>
          <w:b/>
          <w:sz w:val="36"/>
          <w:szCs w:val="44"/>
        </w:rPr>
        <w:t>2020</w:t>
      </w:r>
    </w:p>
    <w:p>
      <w:pPr>
        <w:pStyle w:val="Ttulo1"/>
        <w:rPr/>
      </w:pPr>
      <w:bookmarkStart w:id="0" w:name="_Toc494448985"/>
      <w:bookmarkStart w:id="1" w:name="_Toc494448926"/>
      <w:r>
        <w:rPr/>
        <w:t>ÍNDICE</w:t>
      </w:r>
      <w:bookmarkEnd w:id="0"/>
      <w:bookmarkEnd w:id="1"/>
    </w:p>
    <w:p>
      <w:pPr>
        <w:pStyle w:val="Sumario1"/>
        <w:rPr>
          <w:rFonts w:ascii="Calibri" w:hAnsi="Calibri" w:eastAsia="" w:cs="" w:asciiTheme="minorHAnsi" w:cstheme="minorBidi" w:eastAsiaTheme="minorEastAsia" w:hAnsiTheme="minorHAnsi"/>
          <w:color w:val="auto"/>
          <w:szCs w:val="22"/>
        </w:rPr>
      </w:pPr>
      <w:r>
        <w:fldChar w:fldCharType="begin"/>
      </w:r>
      <w:r>
        <w:rPr/>
        <w:instrText> TOC \o "1-2" \u \h</w:instrText>
      </w:r>
      <w:r>
        <w:rPr/>
        <w:fldChar w:fldCharType="separate"/>
      </w:r>
      <w:r>
        <w:rPr/>
        <w:t>ÍNDICE</w:t>
        <w:tab/>
        <w:t>- 1 -</w:t>
      </w:r>
    </w:p>
    <w:p>
      <w:pPr>
        <w:pStyle w:val="Sumario1"/>
        <w:rPr>
          <w:rFonts w:ascii="Calibri" w:hAnsi="Calibri" w:eastAsia="" w:cs="" w:asciiTheme="minorHAnsi" w:cstheme="minorBidi" w:eastAsiaTheme="minorEastAsia" w:hAnsiTheme="minorHAnsi"/>
          <w:color w:val="auto"/>
          <w:szCs w:val="22"/>
        </w:rPr>
      </w:pPr>
      <w:r>
        <w:rPr/>
        <w:t>PARTE I: ECUACIÓN UNIVERSAL DE PÉRDIDA DE SUELO POR EROSIÓN HÍDRICA (USLE)</w:t>
        <w:tab/>
        <w:t>- 1 -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EROSIVIDAD DE LAS LLUVIAS (R)</w:t>
        <w:tab/>
        <w:t>- 2 -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ERODABILIDAD DEL SUELO (K)</w:t>
        <w:tab/>
        <w:t>- 5 -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FACTOR TOPOGRÁFICO (LS)</w:t>
        <w:tab/>
        <w:t>- 6 -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FACTOR CULTIVO Y MANEJO (C)</w:t>
        <w:tab/>
        <w:t>- 8 -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FACTOR PRáCTICAS CONSERVACIONISTAS (P)</w:t>
        <w:tab/>
        <w:t>- 10 -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TOLERANCIA A LA PÉRDIDA DE SUELO (T)</w:t>
        <w:tab/>
        <w:t>- 10 -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Perfil 1: Serie Arroyo Dulce (AD)</w:t>
        <w:tab/>
        <w:t>- 11 -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Perfil 2: Serie Ramallo (RR)</w:t>
        <w:tab/>
        <w:t>- 13 -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Perfil 3: Serie Saforcada (SS)</w:t>
        <w:tab/>
        <w:t>- 15 -</w:t>
      </w:r>
    </w:p>
    <w:p>
      <w:pPr>
        <w:pStyle w:val="Sumario1"/>
        <w:rPr>
          <w:rFonts w:ascii="Calibri" w:hAnsi="Calibri" w:eastAsia="" w:cs="" w:asciiTheme="minorHAnsi" w:cstheme="minorBidi" w:eastAsiaTheme="minorEastAsia" w:hAnsiTheme="minorHAnsi"/>
          <w:color w:val="auto"/>
          <w:szCs w:val="22"/>
        </w:rPr>
      </w:pPr>
      <w:r>
        <w:rPr/>
        <w:t>PARTE II: DIMENSIONAMIENTO DE ESTRUCTURAS Y DESAGÜES VEGETADOS Y CANAL DE GUARDA</w:t>
        <w:tab/>
        <w:t>- 17 -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Ejercicio 1: Cálculo de Caudal</w:t>
        <w:tab/>
        <w:t>- 17 -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Ejercicio 2: Dimensionamiento de Desagüe Vegetado</w:t>
        <w:tab/>
        <w:t>- 19 -</w:t>
      </w:r>
    </w:p>
    <w:p>
      <w:pPr>
        <w:pStyle w:val="Sumario2"/>
        <w:tabs>
          <w:tab w:val="clear" w:pos="357"/>
          <w:tab w:val="right" w:pos="9629" w:leader="dot"/>
        </w:tabs>
        <w:rPr>
          <w:rFonts w:ascii="Calibri" w:hAnsi="Calibri" w:eastAsia="" w:cs="" w:asciiTheme="minorHAnsi" w:cstheme="minorBidi" w:eastAsiaTheme="minorEastAsia" w:hAnsiTheme="minorHAnsi"/>
          <w:i w:val="false"/>
          <w:i w:val="false"/>
          <w:iCs w:val="false"/>
          <w:color w:val="auto"/>
          <w:szCs w:val="22"/>
        </w:rPr>
      </w:pPr>
      <w:r>
        <w:rPr/>
        <w:t>Ejercicio 3: Dimensionamiento de Canal de Guarda</w:t>
        <w:tab/>
        <w:t>- 20 -</w:t>
      </w:r>
    </w:p>
    <w:p>
      <w:pPr>
        <w:pStyle w:val="Normal"/>
        <w:rPr/>
      </w:pPr>
      <w:r>
        <w:rPr/>
      </w:r>
      <w:r>
        <w:rPr/>
        <w:fldChar w:fldCharType="end"/>
      </w:r>
    </w:p>
    <w:p>
      <w:pPr>
        <w:pStyle w:val="Ttulo1"/>
        <w:rPr/>
      </w:pPr>
      <w:bookmarkStart w:id="2" w:name="_Toc494448986"/>
      <w:bookmarkStart w:id="3" w:name="_Toc494448763"/>
      <w:r>
        <w:rPr>
          <w:caps w:val="false"/>
          <w:smallCaps w:val="false"/>
        </w:rPr>
        <w:t>PARTE I: ECUACIÓN UNIVERSAL DE PÉRDIDA DE SUELO</w:t>
        <w:br/>
        <w:t>POR EROSIÓN HÍDRICA (USLE)</w:t>
      </w:r>
      <w:bookmarkEnd w:id="2"/>
      <w:bookmarkEnd w:id="3"/>
    </w:p>
    <w:p>
      <w:pPr>
        <w:pStyle w:val="Normal"/>
        <w:rPr/>
      </w:pPr>
      <w:r>
        <w:rPr/>
        <w:t xml:space="preserve">Para determinar </w:t>
      </w:r>
      <w:r>
        <w:rPr>
          <w:highlight w:val="yellow"/>
        </w:rPr>
        <w:t xml:space="preserve">la </w:t>
      </w:r>
      <w:r>
        <w:rPr>
          <w:b/>
          <w:highlight w:val="yellow"/>
        </w:rPr>
        <w:t>tasa de erosión hídrica actual presente en un predio</w:t>
      </w:r>
      <w:r>
        <w:rPr>
          <w:b/>
          <w:highlight w:val="yellow"/>
        </w:rPr>
        <w:commentReference w:id="0"/>
      </w:r>
      <w:r>
        <w:rPr/>
        <w:t xml:space="preserve"> en producción puede utilizarse la Ecuación Universal de Predicción de Erosión Hídrica (USLE) establecida por Wischmeier y Smith en 1978.</w:t>
      </w:r>
    </w:p>
    <w:p>
      <w:pPr>
        <w:pStyle w:val="Normal"/>
        <w:rPr/>
      </w:pPr>
      <w:r>
        <w:rPr/>
        <w:t>La USLE establece que:</w:t>
      </w:r>
    </w:p>
    <w:p>
      <w:pPr>
        <w:pStyle w:val="Normal"/>
        <w:rPr>
          <w:sz w:val="24"/>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R</m:t>
        </m:r>
        <m:r>
          <w:rPr>
            <w:rFonts w:ascii="Cambria Math" w:hAnsi="Cambria Math"/>
          </w:rPr>
          <m:t xml:space="preserve">x</m:t>
        </m:r>
        <m:r>
          <w:rPr>
            <w:rFonts w:ascii="Cambria Math" w:hAnsi="Cambria Math"/>
          </w:rPr>
          <m:t xml:space="preserve">K</m:t>
        </m:r>
        <m:r>
          <w:rPr>
            <w:rFonts w:ascii="Cambria Math" w:hAnsi="Cambria Math"/>
          </w:rPr>
          <m:t xml:space="preserve">x</m:t>
        </m:r>
        <m:r>
          <w:rPr>
            <w:rFonts w:ascii="Cambria Math" w:hAnsi="Cambria Math"/>
          </w:rPr>
          <m:t xml:space="preserve">LS</m:t>
        </m:r>
        <m:r>
          <w:rPr>
            <w:rFonts w:ascii="Cambria Math" w:hAnsi="Cambria Math"/>
          </w:rPr>
          <m:t xml:space="preserve">x</m:t>
        </m:r>
        <m:r>
          <w:rPr>
            <w:rFonts w:ascii="Cambria Math" w:hAnsi="Cambria Math"/>
          </w:rPr>
          <m:t xml:space="preserve">C</m:t>
        </m:r>
        <m:r>
          <w:rPr>
            <w:rFonts w:ascii="Cambria Math" w:hAnsi="Cambria Math"/>
          </w:rPr>
          <m:t xml:space="preserve">x</m:t>
        </m:r>
        <m:r>
          <w:rPr>
            <w:rFonts w:ascii="Cambria Math" w:hAnsi="Cambria Math"/>
          </w:rPr>
          <m:t xml:space="preserve">P</m:t>
        </m:r>
      </m:oMath>
    </w:p>
    <w:p>
      <w:pPr>
        <w:pStyle w:val="Normal"/>
        <w:rPr/>
      </w:pPr>
      <w:r>
        <w:rPr/>
        <w:t>Donde:</w:t>
      </w:r>
    </w:p>
    <w:p>
      <w:pPr>
        <w:pStyle w:val="Vietascrculos"/>
        <w:numPr>
          <w:ilvl w:val="0"/>
          <w:numId w:val="2"/>
        </w:numPr>
        <w:rPr/>
      </w:pPr>
      <w:r>
        <w:rPr/>
        <w:t>A: Pérdida de suelo actual</w:t>
      </w:r>
    </w:p>
    <w:p>
      <w:pPr>
        <w:pStyle w:val="Vietascrculos"/>
        <w:numPr>
          <w:ilvl w:val="0"/>
          <w:numId w:val="2"/>
        </w:numPr>
        <w:rPr/>
      </w:pPr>
      <w:r>
        <w:rPr/>
        <w:t>R: Erosividad de las lluvias</w:t>
      </w:r>
    </w:p>
    <w:p>
      <w:pPr>
        <w:pStyle w:val="Vietascrculos"/>
        <w:numPr>
          <w:ilvl w:val="0"/>
          <w:numId w:val="2"/>
        </w:numPr>
        <w:rPr/>
      </w:pPr>
      <w:r>
        <w:rPr/>
        <w:t>K: Susceptibilidad del suelo a la erosión hídrica</w:t>
      </w:r>
    </w:p>
    <w:p>
      <w:pPr>
        <w:pStyle w:val="Vietascrculos"/>
        <w:numPr>
          <w:ilvl w:val="0"/>
          <w:numId w:val="2"/>
        </w:numPr>
        <w:rPr/>
      </w:pPr>
      <w:r>
        <w:rPr/>
        <w:t>L: longitud de la pendiente</w:t>
      </w:r>
    </w:p>
    <w:p>
      <w:pPr>
        <w:pStyle w:val="Vietascrculos"/>
        <w:numPr>
          <w:ilvl w:val="0"/>
          <w:numId w:val="2"/>
        </w:numPr>
        <w:rPr/>
      </w:pPr>
      <w:r>
        <w:rPr/>
        <w:t xml:space="preserve"> </w:t>
      </w:r>
      <w:r>
        <w:rPr/>
        <w:t>S: Grado de la pendiente.</w:t>
      </w:r>
    </w:p>
    <w:p>
      <w:pPr>
        <w:pStyle w:val="Vietascrculos"/>
        <w:numPr>
          <w:ilvl w:val="0"/>
          <w:numId w:val="0"/>
        </w:numPr>
        <w:ind w:left="360" w:firstLine="354"/>
        <w:rPr/>
      </w:pPr>
      <w:r>
        <w:rPr/>
        <w:t>Se los denomina factor topográfico (LS) y se los determina conjuntamente.</w:t>
      </w:r>
    </w:p>
    <w:p>
      <w:pPr>
        <w:pStyle w:val="Vietascrculos"/>
        <w:numPr>
          <w:ilvl w:val="0"/>
          <w:numId w:val="2"/>
        </w:numPr>
        <w:rPr/>
      </w:pPr>
      <w:r>
        <w:rPr/>
        <w:t>C: Factor cultivo o cobertura</w:t>
      </w:r>
    </w:p>
    <w:p>
      <w:pPr>
        <w:pStyle w:val="Vietascrculos"/>
        <w:numPr>
          <w:ilvl w:val="0"/>
          <w:numId w:val="2"/>
        </w:numPr>
        <w:rPr/>
      </w:pPr>
      <w:r>
        <w:rPr/>
        <w:t>P: factor practica conservacionista</w:t>
      </w:r>
    </w:p>
    <w:p>
      <w:pPr>
        <w:pStyle w:val="Normal"/>
        <w:rPr/>
      </w:pPr>
      <w:r>
        <w:rPr/>
        <w:t xml:space="preserve">El producto de estos 6 factores estima la erosión hídrica actual (A) para una situación determinada de clima, suelo, relieve, cultivo y </w:t>
      </w:r>
      <w:commentRangeStart w:id="1"/>
      <w:r>
        <w:rPr/>
        <w:t>manejo</w:t>
      </w:r>
      <w:r>
        <w:rPr/>
      </w:r>
      <w:commentRangeEnd w:id="1"/>
      <w:r>
        <w:commentReference w:id="1"/>
      </w:r>
      <w:r>
        <w:rPr/>
        <w:t>.</w:t>
      </w:r>
    </w:p>
    <w:p>
      <w:pPr>
        <w:pStyle w:val="Normal"/>
        <w:rPr/>
      </w:pPr>
      <w:r>
        <w:rPr/>
      </w:r>
    </w:p>
    <w:p>
      <w:pPr>
        <w:pStyle w:val="Normal"/>
        <w:rPr/>
      </w:pPr>
      <w:r>
        <w:rPr/>
      </w:r>
      <w:bookmarkStart w:id="4" w:name="_Toc494448987"/>
      <w:bookmarkStart w:id="5" w:name="_Toc494448764"/>
      <w:bookmarkStart w:id="6" w:name="_Toc494448987"/>
      <w:bookmarkStart w:id="7" w:name="_Toc494448764"/>
      <w:r>
        <w:br w:type="page"/>
      </w:r>
    </w:p>
    <w:p>
      <w:pPr>
        <w:pStyle w:val="Ttulo2"/>
        <w:rPr/>
      </w:pPr>
      <w:bookmarkStart w:id="8" w:name="_Toc494448987"/>
      <w:bookmarkStart w:id="9" w:name="_Toc494448764"/>
      <w:r>
        <w:rPr/>
        <w:t>EROSIVIDAD DE LAS LLUVIAS (R)</w:t>
      </w:r>
      <w:bookmarkEnd w:id="8"/>
      <w:bookmarkEnd w:id="9"/>
    </w:p>
    <w:p>
      <w:pPr>
        <w:pStyle w:val="Normal"/>
        <w:rPr/>
      </w:pPr>
      <w:r>
        <w:rPr/>
        <w:t xml:space="preserve">Los datos de </w:t>
      </w:r>
      <w:r>
        <w:rPr>
          <w:highlight w:val="yellow"/>
        </w:rPr>
        <w:t>R o erosividad de las lluvias están publicados</w:t>
      </w:r>
      <w:r>
        <w:rPr/>
        <w:t xml:space="preserve"> en el Manual de Sistematización de tierras para control de erosión hídrica y aguas superficiales  excedentes de la EEA INTA Paraná. </w:t>
      </w:r>
    </w:p>
    <w:p>
      <w:pPr>
        <w:pStyle w:val="Normal"/>
        <w:jc w:val="center"/>
        <w:rPr>
          <w:rFonts w:cs="Arial"/>
          <w:b/>
          <w:b/>
        </w:rPr>
      </w:pPr>
      <w:r>
        <w:rPr>
          <w:rFonts w:cs="Arial"/>
          <w:b/>
        </w:rPr>
        <w:t xml:space="preserve"> </w:t>
      </w:r>
      <w:r>
        <w:rPr/>
        <w:drawing>
          <wp:inline distT="0" distB="0" distL="19050" distR="9525">
            <wp:extent cx="4848225" cy="510349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6"/>
                    <a:stretch>
                      <a:fillRect/>
                    </a:stretch>
                  </pic:blipFill>
                  <pic:spPr bwMode="auto">
                    <a:xfrm>
                      <a:off x="0" y="0"/>
                      <a:ext cx="4848225" cy="5103495"/>
                    </a:xfrm>
                    <a:prstGeom prst="rect">
                      <a:avLst/>
                    </a:prstGeom>
                  </pic:spPr>
                </pic:pic>
              </a:graphicData>
            </a:graphic>
          </wp:inline>
        </w:drawing>
      </w:r>
    </w:p>
    <w:p>
      <w:pPr>
        <w:pStyle w:val="Normal"/>
        <w:jc w:val="center"/>
        <w:rPr/>
      </w:pPr>
      <w:r>
        <w:rPr/>
        <w:t xml:space="preserve">Figura 1: Isolíneas de erosividad de las lluvias (Factor R expresado en </w:t>
      </w:r>
      <w:r>
        <w:rPr/>
      </w:r>
      <m:oMath xmlns:m="http://schemas.openxmlformats.org/officeDocument/2006/math">
        <m:acc>
          <m:accPr>
            <m:chr m:val="´"/>
          </m:accPr>
          <m:e>
            <m:r>
              <w:rPr>
                <w:rFonts w:ascii="Cambria Math" w:hAnsi="Cambria Math"/>
              </w:rPr>
              <m:t xml:space="preserve">t</m:t>
            </m:r>
          </m:e>
        </m:acc>
      </m:oMath>
      <w:r>
        <w:rPr/>
        <w:t xml:space="preserve"> m mm/ha h año) </w:t>
        <w:br/>
        <w:t>(INTA, 1980)</w:t>
      </w:r>
    </w:p>
    <w:p>
      <w:pPr>
        <w:pStyle w:val="Normal"/>
        <w:jc w:val="center"/>
        <w:rPr>
          <w:rFonts w:cs="Arial"/>
          <w:b/>
          <w:b/>
        </w:rPr>
      </w:pPr>
      <w:r>
        <w:rPr>
          <w:rFonts w:cs="Arial"/>
          <w:b/>
        </w:rPr>
      </w:r>
    </w:p>
    <w:p>
      <w:pPr>
        <w:pStyle w:val="Normal"/>
        <w:jc w:val="left"/>
        <w:rPr/>
      </w:pPr>
      <w:r>
        <w:rPr/>
        <w:t>Tabla 1: Índice mensual (r) y anual (R) de erosividad de la lluvia (t m mm/ha h año) para algunas localidades de la Región Pampeana (INTA, 1980)</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569"/>
        <w:gridCol w:w="645"/>
        <w:gridCol w:w="645"/>
        <w:gridCol w:w="644"/>
        <w:gridCol w:w="599"/>
        <w:gridCol w:w="600"/>
        <w:gridCol w:w="599"/>
        <w:gridCol w:w="600"/>
        <w:gridCol w:w="599"/>
        <w:gridCol w:w="600"/>
        <w:gridCol w:w="644"/>
        <w:gridCol w:w="601"/>
        <w:gridCol w:w="644"/>
        <w:gridCol w:w="648"/>
      </w:tblGrid>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rPr>
            </w:pPr>
            <w:r>
              <w:rPr>
                <w:b/>
                <w:i/>
              </w:rPr>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E</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F</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M</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A</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M</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J</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J</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A</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S</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O</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N</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D</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bCs/>
                <w:lang w:val="es-MX"/>
              </w:rPr>
            </w:pPr>
            <w:r>
              <w:rPr>
                <w:b/>
                <w:bCs/>
                <w:lang w:val="es-MX"/>
              </w:rPr>
              <w:t>Año</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Concordia</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97</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56</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92</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85</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33</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27</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44</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72</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65</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46</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671</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Junín</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82</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39</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97</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19</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14</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17</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55</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78</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45</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497</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Córdoba</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59</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64</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42</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36</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41</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52</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315</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Pehuajó</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58</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44</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54</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32</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21</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17</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17</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29</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41</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353</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Paraná</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93</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53</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96</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54</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16</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11</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13</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12</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64</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56</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532</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Rafaela</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103</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66</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105</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43</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29</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53</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68</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520</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Reconquista</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74</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121</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69</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19</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28</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11</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18</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103</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74</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129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732</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Rosario</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83</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78</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120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13</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13</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51</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67</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71</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603</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Pergamino</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64</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62</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41</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25</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10</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14</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9</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17</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52</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50</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473</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Azul</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56</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34</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84</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14</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20</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15</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20</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15</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20</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42</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47</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374</w:t>
            </w:r>
          </w:p>
        </w:tc>
      </w:tr>
      <w:tr>
        <w:trPr/>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Cnel Suárez</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22</w:t>
            </w:r>
          </w:p>
        </w:tc>
        <w:tc>
          <w:tcPr>
            <w:tcW w:w="6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45</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66</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27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14</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6</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5</w:t>
            </w:r>
          </w:p>
        </w:tc>
        <w:tc>
          <w:tcPr>
            <w:tcW w:w="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13</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8</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19</w:t>
            </w:r>
          </w:p>
        </w:tc>
        <w:tc>
          <w:tcPr>
            <w:tcW w:w="6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35</w:t>
            </w:r>
          </w:p>
        </w:tc>
        <w:tc>
          <w:tcPr>
            <w:tcW w:w="6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lang w:val="es-MX"/>
              </w:rPr>
            </w:pPr>
            <w:r>
              <w:rPr>
                <w:bCs/>
                <w:lang w:val="es-MX"/>
              </w:rPr>
              <w:t>36</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296</w:t>
            </w:r>
          </w:p>
        </w:tc>
      </w:tr>
    </w:tbl>
    <w:p>
      <w:pPr>
        <w:pStyle w:val="Ttulo3"/>
        <w:numPr>
          <w:ilvl w:val="0"/>
          <w:numId w:val="5"/>
        </w:numPr>
        <w:ind w:left="1287" w:firstLine="567"/>
        <w:rPr>
          <w:rFonts w:cs="Arial"/>
          <w:b/>
          <w:b/>
        </w:rPr>
      </w:pPr>
      <w:bookmarkStart w:id="10" w:name="_Toc494448765"/>
      <w:r>
        <w:rPr/>
        <w:t>Con los datos de r mensual y R anual (Tabla 1) complete la siguiente Tabla  para las localidades de Pergamino y Coronel Suárez.</w:t>
      </w:r>
      <w:bookmarkEnd w:id="10"/>
    </w:p>
    <w:tbl>
      <w:tblPr>
        <w:tblW w:w="5000" w:type="pct"/>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2" w:type="dxa"/>
          <w:bottom w:w="0" w:type="dxa"/>
          <w:right w:w="30" w:type="dxa"/>
        </w:tblCellMar>
        <w:tblLook w:val="0000"/>
      </w:tblPr>
      <w:tblGrid>
        <w:gridCol w:w="1152"/>
        <w:gridCol w:w="445"/>
        <w:gridCol w:w="318"/>
        <w:gridCol w:w="445"/>
        <w:gridCol w:w="1"/>
        <w:gridCol w:w="403"/>
        <w:gridCol w:w="287"/>
        <w:gridCol w:w="402"/>
        <w:gridCol w:w="2"/>
        <w:gridCol w:w="404"/>
        <w:gridCol w:w="286"/>
        <w:gridCol w:w="401"/>
        <w:gridCol w:w="3"/>
        <w:gridCol w:w="403"/>
        <w:gridCol w:w="287"/>
        <w:gridCol w:w="400"/>
        <w:gridCol w:w="3"/>
        <w:gridCol w:w="404"/>
        <w:gridCol w:w="287"/>
        <w:gridCol w:w="399"/>
        <w:gridCol w:w="4"/>
        <w:gridCol w:w="549"/>
        <w:gridCol w:w="548"/>
        <w:gridCol w:w="545"/>
        <w:gridCol w:w="4"/>
        <w:gridCol w:w="420"/>
        <w:gridCol w:w="420"/>
        <w:gridCol w:w="413"/>
      </w:tblGrid>
      <w:tr>
        <w:trPr>
          <w:trHeight w:val="247"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Localidad</w:t>
            </w:r>
          </w:p>
        </w:tc>
        <w:tc>
          <w:tcPr>
            <w:tcW w:w="1208" w:type="dxa"/>
            <w:gridSpan w:val="3"/>
            <w:tcBorders>
              <w:top w:val="single" w:sz="6" w:space="0" w:color="000000"/>
              <w:left w:val="single" w:sz="6" w:space="0" w:color="000000"/>
              <w:bottom w:val="single" w:sz="6" w:space="0" w:color="000000"/>
              <w:insideH w:val="single" w:sz="6" w:space="0" w:color="000000"/>
            </w:tcBorders>
            <w:shd w:fill="auto" w:val="clear"/>
            <w:vAlign w:val="center"/>
          </w:tcPr>
          <w:p>
            <w:pPr>
              <w:pStyle w:val="TablaImagenes"/>
              <w:rPr>
                <w:b/>
                <w:b/>
              </w:rPr>
            </w:pPr>
            <w:r>
              <w:rPr>
                <w:b/>
              </w:rPr>
              <w:t>Reconquista</w:t>
            </w:r>
          </w:p>
        </w:tc>
        <w:tc>
          <w:tcPr>
            <w:tcW w:w="1093"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Rosario</w:t>
            </w:r>
          </w:p>
        </w:tc>
        <w:tc>
          <w:tcPr>
            <w:tcW w:w="1093"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Córdoba</w:t>
            </w:r>
          </w:p>
        </w:tc>
        <w:tc>
          <w:tcPr>
            <w:tcW w:w="1093"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Paraná</w:t>
            </w:r>
          </w:p>
        </w:tc>
        <w:tc>
          <w:tcPr>
            <w:tcW w:w="1093" w:type="dxa"/>
            <w:gridSpan w:val="4"/>
            <w:tcBorders>
              <w:top w:val="single" w:sz="6" w:space="0" w:color="000000"/>
              <w:left w:val="single" w:sz="6" w:space="0" w:color="000000"/>
              <w:bottom w:val="single" w:sz="6" w:space="0" w:color="000000"/>
              <w:insideH w:val="single" w:sz="6" w:space="0" w:color="000000"/>
            </w:tcBorders>
            <w:shd w:fill="auto" w:val="clear"/>
            <w:vAlign w:val="center"/>
          </w:tcPr>
          <w:p>
            <w:pPr>
              <w:pStyle w:val="TablaImagenes"/>
              <w:rPr>
                <w:b/>
                <w:b/>
              </w:rPr>
            </w:pPr>
            <w:r>
              <w:rPr>
                <w:b/>
              </w:rPr>
              <w:t>Azul</w:t>
            </w:r>
          </w:p>
        </w:tc>
        <w:tc>
          <w:tcPr>
            <w:tcW w:w="1646"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TablaImagenes"/>
              <w:rPr>
                <w:b/>
                <w:b/>
              </w:rPr>
            </w:pPr>
            <w:r>
              <w:rPr>
                <w:b/>
              </w:rPr>
              <w:t>Pergamino</w:t>
            </w:r>
          </w:p>
        </w:tc>
        <w:tc>
          <w:tcPr>
            <w:tcW w:w="12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Coronel Suarez</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Mes</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rPr>
            </w:pPr>
            <w:r>
              <w:rPr>
                <w:b/>
                <w:i/>
              </w:rPr>
              <w:t>r1</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rPr>
            </w:pPr>
            <w:r>
              <w:rPr>
                <w:b/>
                <w:i/>
              </w:rPr>
              <w:t>r2</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r3</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r3</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r1</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r3</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r3</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r3</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commentRangeStart w:id="2"/>
            <w:r>
              <w:rPr>
                <w:b/>
                <w:i/>
                <w:lang w:val="en-US"/>
              </w:rPr>
              <w:t>r1</w:t>
            </w:r>
            <w:commentRangeEnd w:id="2"/>
            <w:r>
              <w:commentReference w:id="2"/>
            </w:r>
            <w:r>
              <w:rPr>
                <w:b/>
                <w:i/>
                <w:lang w:val="en-US"/>
              </w:rPr>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commentRangeStart w:id="3"/>
            <w:r>
              <w:rPr>
                <w:b/>
                <w:i/>
                <w:lang w:val="en-US"/>
              </w:rPr>
              <w:t>r2</w:t>
            </w:r>
            <w:commentRangeEnd w:id="3"/>
            <w:r>
              <w:commentReference w:id="3"/>
            </w:r>
            <w:r>
              <w:rPr>
                <w:b/>
                <w:i/>
                <w:lang w:val="en-US"/>
              </w:rPr>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commentRangeStart w:id="4"/>
            <w:r>
              <w:rPr>
                <w:b/>
                <w:i/>
                <w:lang w:val="en-US"/>
              </w:rPr>
              <w:t>r3</w:t>
            </w:r>
            <w:commentRangeEnd w:id="4"/>
            <w:r>
              <w:commentReference w:id="4"/>
            </w:r>
            <w:r>
              <w:rPr>
                <w:b/>
                <w:i/>
                <w:lang w:val="en-US"/>
              </w:rPr>
            </w:r>
          </w:p>
        </w:tc>
        <w:tc>
          <w:tcPr>
            <w:tcW w:w="42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r1</w:t>
            </w:r>
          </w:p>
        </w:tc>
        <w:tc>
          <w:tcPr>
            <w:tcW w:w="420"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lang w:val="en-US"/>
              </w:rPr>
            </w:pPr>
            <w:r>
              <w:rPr>
                <w:b/>
                <w:i/>
                <w:lang w:val="en-US"/>
              </w:rPr>
              <w:t>r2</w:t>
            </w:r>
          </w:p>
        </w:tc>
        <w:tc>
          <w:tcPr>
            <w:tcW w:w="41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rPr>
            </w:pPr>
            <w:r>
              <w:rPr>
                <w:b/>
                <w:i/>
              </w:rPr>
              <w:t>r3</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Enero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74</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59</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19</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19</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17</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64</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14</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14</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22</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7</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7</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Febrero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121</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17</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27</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78</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39</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34</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24</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62</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13</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27</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45</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15</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22</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Marzo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80</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38</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42</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52</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96</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18</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45</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84</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47</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70</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15</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42</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66</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22</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44</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Abril</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69</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47</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58</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54</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54</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50</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41</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9</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51</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27</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9</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53</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Mayo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19</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50</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61</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16</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59</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25</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56</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14</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58</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Junio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28</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53</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63</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57</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61</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57</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10</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58</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60</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Julio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54</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65</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57</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63</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61</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14</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3</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61</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62</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Agosto</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58</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9</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2</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63</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13</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4</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66</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Septiembre</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18</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58</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69</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59</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66</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71</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17</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4</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67</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8</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3</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69</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Octubre</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103</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72</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77</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36</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70</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78</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20</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76</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52</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11</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78</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19</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6</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75</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Noviembre</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74</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82</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88</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41</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83</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56</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89</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42</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87</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50</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11</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89</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35</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12</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87</w:t>
            </w:r>
          </w:p>
        </w:tc>
      </w:tr>
      <w:tr>
        <w:trPr>
          <w:trHeight w:val="113"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rPr>
            </w:pPr>
            <w:r>
              <w:rPr>
                <w:i/>
              </w:rPr>
              <w:t>Diciembre</w:t>
            </w:r>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129</w:t>
            </w:r>
          </w:p>
        </w:tc>
        <w:tc>
          <w:tcPr>
            <w:tcW w:w="3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18</w:t>
            </w:r>
          </w:p>
        </w:tc>
        <w:tc>
          <w:tcPr>
            <w:tcW w:w="44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100</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71</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100</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52</w:t>
            </w:r>
          </w:p>
        </w:tc>
        <w:tc>
          <w:tcPr>
            <w:tcW w:w="2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17</w:t>
            </w:r>
          </w:p>
        </w:tc>
        <w:tc>
          <w:tcPr>
            <w:tcW w:w="4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100</w:t>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59</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100</w:t>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47</w:t>
            </w:r>
          </w:p>
        </w:tc>
        <w:tc>
          <w:tcPr>
            <w:tcW w:w="2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40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100</w:t>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59</w:t>
            </w:r>
          </w:p>
        </w:tc>
        <w:tc>
          <w:tcPr>
            <w:tcW w:w="5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12</w:t>
            </w:r>
          </w:p>
        </w:tc>
        <w:tc>
          <w:tcPr>
            <w:tcW w:w="54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Normal"/>
              <w:spacing w:before="0" w:after="0"/>
              <w:ind w:hanging="0"/>
              <w:jc w:val="center"/>
              <w:rPr>
                <w:color w:val="FF0000"/>
              </w:rPr>
            </w:pPr>
            <w:r>
              <w:rPr>
                <w:color w:val="FF0000"/>
              </w:rPr>
              <w:t>100</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36</w:t>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12</w:t>
            </w:r>
          </w:p>
        </w:tc>
        <w:tc>
          <w:tcPr>
            <w:tcW w:w="41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bottom"/>
          </w:tcPr>
          <w:p>
            <w:pPr>
              <w:pStyle w:val="TablaImagenes"/>
              <w:rPr>
                <w:color w:val="FF0000"/>
              </w:rPr>
            </w:pPr>
            <w:r>
              <w:rPr>
                <w:color w:val="FF0000"/>
              </w:rPr>
              <w:t>100</w:t>
            </w:r>
          </w:p>
        </w:tc>
      </w:tr>
      <w:tr>
        <w:trPr>
          <w:trHeight w:val="247" w:hRule="atLeast"/>
        </w:trPr>
        <w:tc>
          <w:tcPr>
            <w:tcW w:w="115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i/>
                <w:i/>
                <w:lang w:val="pt-BR"/>
              </w:rPr>
            </w:pPr>
            <w:r>
              <w:rPr>
                <w:i/>
                <w:lang w:val="pt-BR"/>
              </w:rPr>
              <w:t>R anual</w:t>
            </w:r>
          </w:p>
          <w:p>
            <w:pPr>
              <w:pStyle w:val="TablaImagenes"/>
              <w:rPr>
                <w:i/>
                <w:i/>
                <w:lang w:val="pt-BR"/>
              </w:rPr>
            </w:pPr>
            <w:r>
              <w:rPr/>
            </w:r>
            <m:oMath xmlns:m="http://schemas.openxmlformats.org/officeDocument/2006/math">
              <m:d>
                <m:dPr>
                  <m:begChr m:val="("/>
                  <m:endChr m:val=")"/>
                </m:dPr>
                <m:e>
                  <m:f>
                    <m:num>
                      <m:r>
                        <w:rPr>
                          <w:rFonts w:ascii="Cambria Math" w:hAnsi="Cambria Math"/>
                        </w:rPr>
                        <m:t xml:space="preserve">t</m:t>
                      </m:r>
                      <m:r>
                        <w:rPr>
                          <w:rFonts w:ascii="Cambria Math" w:hAnsi="Cambria Math"/>
                        </w:rPr>
                        <m:t xml:space="preserve">m</m:t>
                      </m:r>
                      <m:r>
                        <w:rPr>
                          <w:rFonts w:ascii="Cambria Math" w:hAnsi="Cambria Math"/>
                        </w:rPr>
                        <m:t xml:space="preserve">mm</m:t>
                      </m:r>
                    </m:num>
                    <m:den>
                      <m:r>
                        <w:rPr>
                          <w:rFonts w:ascii="Cambria Math" w:hAnsi="Cambria Math"/>
                        </w:rPr>
                        <m:t xml:space="preserve">ha</m:t>
                      </m:r>
                      <m:r>
                        <w:rPr>
                          <w:rFonts w:ascii="Cambria Math" w:hAnsi="Cambria Math"/>
                        </w:rPr>
                        <m:t xml:space="preserve">h</m:t>
                      </m:r>
                      <m:r>
                        <w:rPr>
                          <w:rFonts w:ascii="Cambria Math" w:hAnsi="Cambria Math"/>
                        </w:rPr>
                        <m:t xml:space="preserve">año</m:t>
                      </m:r>
                    </m:den>
                  </m:f>
                </m:e>
              </m:d>
            </m:oMath>
          </w:p>
        </w:tc>
        <w:tc>
          <w:tcPr>
            <w:tcW w:w="44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732</w:t>
            </w:r>
          </w:p>
        </w:tc>
        <w:tc>
          <w:tcPr>
            <w:tcW w:w="318" w:type="dxa"/>
            <w:tcBorders>
              <w:top w:val="single" w:sz="6" w:space="0" w:color="000000"/>
              <w:left w:val="single" w:sz="6" w:space="0" w:color="000000"/>
            </w:tcBorders>
            <w:shd w:fill="auto" w:val="clear"/>
            <w:vAlign w:val="center"/>
          </w:tcPr>
          <w:p>
            <w:pPr>
              <w:pStyle w:val="TablaImagenes"/>
              <w:rPr/>
            </w:pPr>
            <w:r>
              <w:rPr/>
            </w:r>
          </w:p>
        </w:tc>
        <w:tc>
          <w:tcPr>
            <w:tcW w:w="446" w:type="dxa"/>
            <w:gridSpan w:val="2"/>
            <w:tcBorders>
              <w:top w:val="single" w:sz="6" w:space="0" w:color="000000"/>
              <w:right w:val="single" w:sz="6" w:space="0" w:color="000000"/>
              <w:insideV w:val="single" w:sz="6" w:space="0" w:color="000000"/>
            </w:tcBorders>
            <w:shd w:fill="auto" w:val="clear"/>
            <w:vAlign w:val="center"/>
          </w:tcPr>
          <w:p>
            <w:pPr>
              <w:pStyle w:val="TablaImagenes"/>
              <w:rPr/>
            </w:pPr>
            <w:r>
              <w:rPr/>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603</w:t>
            </w:r>
          </w:p>
        </w:tc>
        <w:tc>
          <w:tcPr>
            <w:tcW w:w="287" w:type="dxa"/>
            <w:tcBorders>
              <w:top w:val="single" w:sz="6" w:space="0" w:color="000000"/>
              <w:left w:val="single" w:sz="6" w:space="0" w:color="000000"/>
            </w:tcBorders>
            <w:shd w:fill="auto" w:val="clear"/>
            <w:vAlign w:val="center"/>
          </w:tcPr>
          <w:p>
            <w:pPr>
              <w:pStyle w:val="TablaImagenes"/>
              <w:rPr/>
            </w:pPr>
            <w:r>
              <w:rPr/>
            </w:r>
          </w:p>
        </w:tc>
        <w:tc>
          <w:tcPr>
            <w:tcW w:w="404" w:type="dxa"/>
            <w:gridSpan w:val="2"/>
            <w:tcBorders>
              <w:top w:val="single" w:sz="6" w:space="0" w:color="000000"/>
              <w:right w:val="single" w:sz="6" w:space="0" w:color="000000"/>
              <w:insideV w:val="single" w:sz="6" w:space="0" w:color="000000"/>
            </w:tcBorders>
            <w:shd w:fill="auto" w:val="clear"/>
            <w:vAlign w:val="center"/>
          </w:tcPr>
          <w:p>
            <w:pPr>
              <w:pStyle w:val="TablaImagenes"/>
              <w:rPr/>
            </w:pPr>
            <w:r>
              <w:rPr/>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315</w:t>
            </w:r>
          </w:p>
        </w:tc>
        <w:tc>
          <w:tcPr>
            <w:tcW w:w="286" w:type="dxa"/>
            <w:tcBorders>
              <w:top w:val="single" w:sz="6" w:space="0" w:color="000000"/>
              <w:left w:val="single" w:sz="6" w:space="0" w:color="000000"/>
            </w:tcBorders>
            <w:shd w:fill="auto" w:val="clear"/>
            <w:vAlign w:val="center"/>
          </w:tcPr>
          <w:p>
            <w:pPr>
              <w:pStyle w:val="TablaImagenes"/>
              <w:rPr/>
            </w:pPr>
            <w:r>
              <w:rPr/>
            </w:r>
          </w:p>
        </w:tc>
        <w:tc>
          <w:tcPr>
            <w:tcW w:w="404" w:type="dxa"/>
            <w:gridSpan w:val="2"/>
            <w:tcBorders>
              <w:top w:val="single" w:sz="6" w:space="0" w:color="000000"/>
              <w:right w:val="single" w:sz="6" w:space="0" w:color="000000"/>
              <w:insideV w:val="single" w:sz="6" w:space="0" w:color="000000"/>
            </w:tcBorders>
            <w:shd w:fill="auto" w:val="clear"/>
            <w:vAlign w:val="center"/>
          </w:tcPr>
          <w:p>
            <w:pPr>
              <w:pStyle w:val="TablaImagenes"/>
              <w:rPr/>
            </w:pPr>
            <w:r>
              <w:rPr/>
            </w:r>
          </w:p>
        </w:tc>
        <w:tc>
          <w:tcPr>
            <w:tcW w:w="4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532</w:t>
            </w:r>
          </w:p>
        </w:tc>
        <w:tc>
          <w:tcPr>
            <w:tcW w:w="287" w:type="dxa"/>
            <w:tcBorders>
              <w:top w:val="single" w:sz="6" w:space="0" w:color="000000"/>
              <w:left w:val="single" w:sz="6" w:space="0" w:color="000000"/>
            </w:tcBorders>
            <w:shd w:fill="auto" w:val="clear"/>
            <w:vAlign w:val="center"/>
          </w:tcPr>
          <w:p>
            <w:pPr>
              <w:pStyle w:val="TablaImagenes"/>
              <w:rPr/>
            </w:pPr>
            <w:r>
              <w:rPr/>
            </w:r>
          </w:p>
        </w:tc>
        <w:tc>
          <w:tcPr>
            <w:tcW w:w="403" w:type="dxa"/>
            <w:gridSpan w:val="2"/>
            <w:tcBorders>
              <w:top w:val="single" w:sz="6" w:space="0" w:color="000000"/>
              <w:right w:val="single" w:sz="6" w:space="0" w:color="000000"/>
              <w:insideV w:val="single" w:sz="6" w:space="0" w:color="000000"/>
            </w:tcBorders>
            <w:shd w:fill="auto" w:val="clear"/>
            <w:vAlign w:val="center"/>
          </w:tcPr>
          <w:p>
            <w:pPr>
              <w:pStyle w:val="TablaImagenes"/>
              <w:rPr/>
            </w:pPr>
            <w:r>
              <w:rPr/>
            </w:r>
          </w:p>
        </w:tc>
        <w:tc>
          <w:tcPr>
            <w:tcW w:w="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374</w:t>
            </w:r>
          </w:p>
        </w:tc>
        <w:tc>
          <w:tcPr>
            <w:tcW w:w="287" w:type="dxa"/>
            <w:tcBorders>
              <w:top w:val="single" w:sz="6" w:space="0" w:color="000000"/>
              <w:left w:val="single" w:sz="6" w:space="0" w:color="000000"/>
            </w:tcBorders>
            <w:shd w:fill="auto" w:val="clear"/>
            <w:vAlign w:val="center"/>
          </w:tcPr>
          <w:p>
            <w:pPr>
              <w:pStyle w:val="TablaImagenes"/>
              <w:rPr/>
            </w:pPr>
            <w:r>
              <w:rPr/>
            </w:r>
          </w:p>
        </w:tc>
        <w:tc>
          <w:tcPr>
            <w:tcW w:w="403" w:type="dxa"/>
            <w:gridSpan w:val="2"/>
            <w:tcBorders>
              <w:top w:val="single" w:sz="6" w:space="0" w:color="000000"/>
              <w:right w:val="single" w:sz="6" w:space="0" w:color="000000"/>
              <w:insideV w:val="single" w:sz="6" w:space="0" w:color="000000"/>
            </w:tcBorders>
            <w:shd w:fill="auto" w:val="clear"/>
            <w:vAlign w:val="center"/>
          </w:tcPr>
          <w:p>
            <w:pPr>
              <w:pStyle w:val="TablaImagenes"/>
              <w:rPr/>
            </w:pPr>
            <w:r>
              <w:rPr/>
            </w:r>
          </w:p>
        </w:tc>
        <w:tc>
          <w:tcPr>
            <w:tcW w:w="5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color w:val="FF0000"/>
              </w:rPr>
            </w:pPr>
            <w:r>
              <w:rPr>
                <w:color w:val="FF0000"/>
              </w:rPr>
              <w:t>473</w:t>
            </w:r>
          </w:p>
        </w:tc>
        <w:tc>
          <w:tcPr>
            <w:tcW w:w="548" w:type="dxa"/>
            <w:tcBorders>
              <w:top w:val="single" w:sz="6" w:space="0" w:color="000000"/>
              <w:left w:val="single" w:sz="6" w:space="0" w:color="000000"/>
            </w:tcBorders>
            <w:shd w:fill="auto" w:val="clear"/>
            <w:vAlign w:val="center"/>
          </w:tcPr>
          <w:p>
            <w:pPr>
              <w:pStyle w:val="TablaImagenes"/>
              <w:rPr>
                <w:color w:val="FF0000"/>
              </w:rPr>
            </w:pPr>
            <w:r>
              <w:rPr>
                <w:color w:val="FF0000"/>
              </w:rPr>
            </w:r>
          </w:p>
        </w:tc>
        <w:tc>
          <w:tcPr>
            <w:tcW w:w="549" w:type="dxa"/>
            <w:gridSpan w:val="2"/>
            <w:tcBorders>
              <w:top w:val="single" w:sz="6" w:space="0" w:color="000000"/>
              <w:right w:val="single" w:sz="6" w:space="0" w:color="000000"/>
              <w:insideV w:val="single" w:sz="6" w:space="0" w:color="000000"/>
            </w:tcBorders>
            <w:shd w:fill="auto" w:val="clear"/>
            <w:vAlign w:val="center"/>
          </w:tcPr>
          <w:p>
            <w:pPr>
              <w:pStyle w:val="TablaImagenes"/>
              <w:rPr>
                <w:color w:val="FF0000"/>
              </w:rPr>
            </w:pPr>
            <w:r>
              <w:rPr>
                <w:color w:val="FF0000"/>
              </w:rPr>
            </w:r>
          </w:p>
        </w:tc>
        <w:tc>
          <w:tcPr>
            <w:tcW w:w="4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color w:val="FF0000"/>
              </w:rPr>
            </w:pPr>
            <w:r>
              <w:rPr>
                <w:color w:val="FF0000"/>
              </w:rPr>
              <w:t>296</w:t>
            </w:r>
          </w:p>
        </w:tc>
        <w:tc>
          <w:tcPr>
            <w:tcW w:w="420" w:type="dxa"/>
            <w:tcBorders>
              <w:top w:val="single" w:sz="6" w:space="0" w:color="000000"/>
              <w:left w:val="single" w:sz="6" w:space="0" w:color="000000"/>
            </w:tcBorders>
            <w:shd w:fill="auto" w:val="clear"/>
            <w:vAlign w:val="center"/>
          </w:tcPr>
          <w:p>
            <w:pPr>
              <w:pStyle w:val="TablaImagenes"/>
              <w:rPr>
                <w:color w:val="FF0000"/>
              </w:rPr>
            </w:pPr>
            <w:r>
              <w:rPr>
                <w:color w:val="FF0000"/>
              </w:rPr>
            </w:r>
          </w:p>
        </w:tc>
        <w:tc>
          <w:tcPr>
            <w:tcW w:w="413" w:type="dxa"/>
            <w:tcBorders>
              <w:top w:val="single" w:sz="6" w:space="0" w:color="000000"/>
            </w:tcBorders>
            <w:shd w:fill="auto" w:val="clear"/>
            <w:vAlign w:val="center"/>
          </w:tcPr>
          <w:p>
            <w:pPr>
              <w:pStyle w:val="TablaImagenes"/>
              <w:rPr>
                <w:color w:val="FF0000"/>
              </w:rPr>
            </w:pPr>
            <w:r>
              <w:rPr>
                <w:color w:val="FF0000"/>
              </w:rPr>
            </w:r>
          </w:p>
        </w:tc>
      </w:tr>
    </w:tbl>
    <w:p>
      <w:pPr>
        <w:pStyle w:val="Normal"/>
        <w:rPr/>
      </w:pPr>
      <w:r>
        <w:rPr/>
      </w:r>
    </w:p>
    <w:p>
      <w:pPr>
        <w:pStyle w:val="Normal"/>
        <w:rPr>
          <w:bCs/>
        </w:rPr>
      </w:pPr>
      <w:r>
        <w:rPr>
          <w:bCs/>
        </w:rPr>
        <w:t>r1: Valor absoluto de r mensual en (t m mm/ha h año)</w:t>
      </w:r>
    </w:p>
    <w:p>
      <w:pPr>
        <w:pStyle w:val="Normal"/>
        <w:rPr>
          <w:bCs/>
        </w:rPr>
      </w:pPr>
      <w:r>
        <w:rPr>
          <w:bCs/>
        </w:rPr>
        <w:t>r2: valor relativo de r mensual (% sin decimales)</w:t>
      </w:r>
    </w:p>
    <w:p>
      <w:pPr>
        <w:pStyle w:val="Normal"/>
        <w:rPr>
          <w:bCs/>
        </w:rPr>
      </w:pPr>
      <w:r>
        <w:rPr>
          <w:bCs/>
        </w:rPr>
        <w:t>r3: valor de r mensual acumulado (% acumulado, sin decimales)</w:t>
      </w:r>
    </w:p>
    <w:p>
      <w:pPr>
        <w:pStyle w:val="Normal"/>
        <w:rPr/>
      </w:pPr>
      <w:r>
        <w:rPr/>
      </w:r>
    </w:p>
    <w:p>
      <w:pPr>
        <w:pStyle w:val="Ttulo3"/>
        <w:numPr>
          <w:ilvl w:val="0"/>
          <w:numId w:val="5"/>
        </w:numPr>
        <w:ind w:left="1287" w:firstLine="567"/>
        <w:rPr/>
      </w:pPr>
      <w:r>
        <w:rPr/>
        <w:t xml:space="preserve">Realice un gráfico de r1 para las localidades de Reconquista, Córdoba, Paraná y Coronel Suárez. Represente en el eje de las ordenadas los valores de r1 y en las abscisas los meses del </w:t>
      </w:r>
      <w:commentRangeStart w:id="5"/>
      <w:r>
        <w:rPr/>
        <w:t>año</w:t>
      </w:r>
      <w:r>
        <w:rPr/>
      </w:r>
      <w:bookmarkStart w:id="11" w:name="_Toc494448766"/>
      <w:bookmarkEnd w:id="11"/>
      <w:commentRangeEnd w:id="5"/>
      <w:r>
        <w:commentReference w:id="5"/>
      </w:r>
      <w:r>
        <w:rPr/>
        <w:t xml:space="preserve">. </w:t>
      </w:r>
    </w:p>
    <w:p>
      <w:pPr>
        <w:pStyle w:val="Normal"/>
        <w:rPr/>
      </w:pPr>
      <w:r>
        <w:rPr/>
        <w:drawing>
          <wp:inline distT="0" distB="0" distL="19050" distR="9525">
            <wp:extent cx="5667375" cy="3227705"/>
            <wp:effectExtent l="0" t="0" r="0" b="0"/>
            <wp:docPr id="4"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
                    <pic:cNvPicPr>
                      <a:picLocks noChangeAspect="1" noChangeArrowheads="1"/>
                    </pic:cNvPicPr>
                  </pic:nvPicPr>
                  <pic:blipFill>
                    <a:blip r:embed="rId7"/>
                    <a:stretch>
                      <a:fillRect/>
                    </a:stretch>
                  </pic:blipFill>
                  <pic:spPr bwMode="auto">
                    <a:xfrm>
                      <a:off x="0" y="0"/>
                      <a:ext cx="5667375" cy="3227705"/>
                    </a:xfrm>
                    <a:prstGeom prst="rect">
                      <a:avLst/>
                    </a:prstGeom>
                  </pic:spPr>
                </pic:pic>
              </a:graphicData>
            </a:graphic>
          </wp:inline>
        </w:drawing>
      </w:r>
    </w:p>
    <w:p>
      <w:pPr>
        <w:pStyle w:val="Normal"/>
        <w:rPr/>
      </w:pPr>
      <w:r>
        <w:rPr/>
      </w:r>
    </w:p>
    <w:p>
      <w:pPr>
        <w:pStyle w:val="Normal"/>
        <w:spacing w:before="0" w:after="0"/>
        <w:ind w:hanging="0"/>
        <w:jc w:val="left"/>
        <w:rPr>
          <w:b/>
          <w:b/>
          <w:bCs/>
          <w:sz w:val="26"/>
          <w:szCs w:val="26"/>
        </w:rPr>
      </w:pPr>
      <w:r>
        <w:rPr>
          <w:b/>
          <w:bCs/>
          <w:sz w:val="26"/>
          <w:szCs w:val="26"/>
        </w:rPr>
      </w:r>
      <w:r>
        <w:br w:type="page"/>
      </w:r>
    </w:p>
    <w:p>
      <w:pPr>
        <w:pStyle w:val="Ttulo3"/>
        <w:numPr>
          <w:ilvl w:val="0"/>
          <w:numId w:val="5"/>
        </w:numPr>
        <w:ind w:left="1287" w:firstLine="567"/>
        <w:rPr/>
      </w:pPr>
      <w:bookmarkStart w:id="12" w:name="_Toc494448767"/>
      <w:r>
        <w:rPr/>
        <w:t xml:space="preserve">Realice un gráfico de r2 para la localidad de </w:t>
      </w:r>
      <w:commentRangeStart w:id="6"/>
      <w:r>
        <w:rPr/>
        <w:t>Azul</w:t>
      </w:r>
      <w:bookmarkEnd w:id="12"/>
      <w:commentRangeEnd w:id="6"/>
      <w:r>
        <w:commentReference w:id="6"/>
      </w:r>
      <w:r>
        <w:rPr/>
      </w:r>
    </w:p>
    <w:p>
      <w:pPr>
        <w:pStyle w:val="Normal"/>
        <w:jc w:val="center"/>
        <w:rPr/>
      </w:pPr>
      <w:r>
        <w:rPr/>
        <w:drawing>
          <wp:inline distT="0" distB="0" distL="19050" distR="635">
            <wp:extent cx="4018915" cy="1962150"/>
            <wp:effectExtent l="0" t="0" r="0" b="0"/>
            <wp:docPr id="5"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
                    <pic:cNvPicPr>
                      <a:picLocks noChangeAspect="1" noChangeArrowheads="1"/>
                    </pic:cNvPicPr>
                  </pic:nvPicPr>
                  <pic:blipFill>
                    <a:blip r:embed="rId8"/>
                    <a:stretch>
                      <a:fillRect/>
                    </a:stretch>
                  </pic:blipFill>
                  <pic:spPr bwMode="auto">
                    <a:xfrm>
                      <a:off x="0" y="0"/>
                      <a:ext cx="4018915" cy="1962150"/>
                    </a:xfrm>
                    <a:prstGeom prst="rect">
                      <a:avLst/>
                    </a:prstGeom>
                  </pic:spPr>
                </pic:pic>
              </a:graphicData>
            </a:graphic>
          </wp:inline>
        </w:drawing>
      </w:r>
    </w:p>
    <w:p>
      <w:pPr>
        <w:pStyle w:val="Ttulo3"/>
        <w:numPr>
          <w:ilvl w:val="0"/>
          <w:numId w:val="5"/>
        </w:numPr>
        <w:ind w:left="1287" w:firstLine="567"/>
        <w:rPr/>
      </w:pPr>
      <w:bookmarkStart w:id="13" w:name="_Toc494448768"/>
      <w:r>
        <w:rPr/>
        <w:t>Realice el gráfico de r3 para la localidad de Paraná</w:t>
      </w:r>
      <w:bookmarkEnd w:id="13"/>
      <w:r>
        <w:rPr/>
        <w:t xml:space="preserve"> </w:t>
      </w:r>
      <w:commentRangeStart w:id="7"/>
      <w:r>
        <w:rPr/>
        <w:t>----</w:t>
      </w:r>
      <w:commentRangeEnd w:id="7"/>
      <w:r>
        <w:commentReference w:id="7"/>
      </w:r>
      <w:r>
        <w:rPr/>
      </w:r>
    </w:p>
    <w:p>
      <w:pPr>
        <w:pStyle w:val="Normal"/>
        <w:jc w:val="center"/>
        <w:rPr/>
      </w:pPr>
      <w:r>
        <w:rPr/>
        <w:drawing>
          <wp:inline distT="0" distB="0" distL="19050" distR="0">
            <wp:extent cx="3836035" cy="2309495"/>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
                    <pic:cNvPicPr>
                      <a:picLocks noChangeAspect="1" noChangeArrowheads="1"/>
                    </pic:cNvPicPr>
                  </pic:nvPicPr>
                  <pic:blipFill>
                    <a:blip r:embed="rId9"/>
                    <a:stretch>
                      <a:fillRect/>
                    </a:stretch>
                  </pic:blipFill>
                  <pic:spPr bwMode="auto">
                    <a:xfrm>
                      <a:off x="0" y="0"/>
                      <a:ext cx="3836035" cy="2309495"/>
                    </a:xfrm>
                    <a:prstGeom prst="rect">
                      <a:avLst/>
                    </a:prstGeom>
                  </pic:spPr>
                </pic:pic>
              </a:graphicData>
            </a:graphic>
          </wp:inline>
        </w:drawing>
      </w:r>
    </w:p>
    <w:p>
      <w:pPr>
        <w:pStyle w:val="Ttulo3"/>
        <w:numPr>
          <w:ilvl w:val="0"/>
          <w:numId w:val="5"/>
        </w:numPr>
        <w:ind w:left="1287" w:firstLine="567"/>
        <w:rPr/>
      </w:pPr>
      <w:bookmarkStart w:id="14" w:name="_Toc494448769"/>
      <w:r>
        <w:rPr/>
        <w:t>Ubique cada una de las localidades en un mapa de la República Argentina</w:t>
      </w:r>
      <w:bookmarkEnd w:id="14"/>
      <w:r>
        <w:rPr/>
        <w:t xml:space="preserve"> </w:t>
      </w:r>
    </w:p>
    <w:p>
      <w:pPr>
        <w:pStyle w:val="Normal"/>
        <w:jc w:val="center"/>
        <w:rPr>
          <w:rFonts w:cs="Arial"/>
          <w:bCs/>
        </w:rPr>
      </w:pPr>
      <w:r>
        <w:rPr/>
        <w:drawing>
          <wp:inline distT="0" distB="0" distL="19050" distR="0">
            <wp:extent cx="5239385" cy="4029075"/>
            <wp:effectExtent l="0" t="0" r="0" b="0"/>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10"/>
                    <a:srcRect l="26437" t="24104" r="26456" b="11353"/>
                    <a:stretch>
                      <a:fillRect/>
                    </a:stretch>
                  </pic:blipFill>
                  <pic:spPr bwMode="auto">
                    <a:xfrm>
                      <a:off x="0" y="0"/>
                      <a:ext cx="5239385" cy="4029075"/>
                    </a:xfrm>
                    <a:prstGeom prst="rect">
                      <a:avLst/>
                    </a:prstGeom>
                  </pic:spPr>
                </pic:pic>
              </a:graphicData>
            </a:graphic>
          </wp:inline>
        </w:drawing>
      </w:r>
    </w:p>
    <w:p>
      <w:pPr>
        <w:pStyle w:val="Ttulo3"/>
        <w:numPr>
          <w:ilvl w:val="0"/>
          <w:numId w:val="5"/>
        </w:numPr>
        <w:ind w:left="1287" w:firstLine="567"/>
        <w:rPr/>
      </w:pPr>
      <w:bookmarkStart w:id="15" w:name="_Toc494448770"/>
      <w:r>
        <w:rPr/>
        <w:t xml:space="preserve">Establezca la variación geográfica del R </w:t>
      </w:r>
      <w:commentRangeStart w:id="8"/>
      <w:r>
        <w:rPr/>
        <w:t>anual</w:t>
      </w:r>
      <w:bookmarkEnd w:id="15"/>
      <w:commentRangeEnd w:id="8"/>
      <w:r>
        <w:commentReference w:id="8"/>
      </w:r>
      <w:r>
        <w:rPr/>
      </w:r>
    </w:p>
    <w:p>
      <w:pPr>
        <w:pStyle w:val="Normal"/>
        <w:rPr>
          <w:color w:val="FF0000"/>
        </w:rPr>
      </w:pPr>
      <w:r>
        <w:rPr>
          <w:color w:val="FF0000"/>
        </w:rPr>
        <w:t xml:space="preserve">El R anual aumenta del sudoeste al noreste </w:t>
      </w:r>
    </w:p>
    <w:p>
      <w:pPr>
        <w:pStyle w:val="Ttulo3"/>
        <w:numPr>
          <w:ilvl w:val="0"/>
          <w:numId w:val="5"/>
        </w:numPr>
        <w:ind w:left="1287" w:firstLine="567"/>
        <w:rPr/>
      </w:pPr>
      <w:bookmarkStart w:id="16" w:name="_Toc494448771"/>
      <w:r>
        <w:rPr/>
        <w:t>Determine los meses de mayor y menor erosividad de las lluvias en cada localidad analizada. Compare las localidades entre sí. Saque conclusiones.</w:t>
      </w:r>
      <w:bookmarkEnd w:id="16"/>
      <w:r>
        <w:rPr/>
        <w:t xml:space="preserve"> </w:t>
      </w:r>
    </w:p>
    <w:tbl>
      <w:tblPr>
        <w:tblpPr w:bottomFromText="0" w:horzAnchor="margin" w:leftFromText="141" w:rightFromText="141" w:tblpX="0" w:tblpY="223" w:topFromText="0" w:vertAnchor="text"/>
        <w:tblW w:w="969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22" w:type="dxa"/>
          <w:bottom w:w="0" w:type="dxa"/>
          <w:right w:w="30" w:type="dxa"/>
        </w:tblCellMar>
        <w:tblLook w:val="0000"/>
      </w:tblPr>
      <w:tblGrid>
        <w:gridCol w:w="1299"/>
        <w:gridCol w:w="432"/>
        <w:gridCol w:w="307"/>
        <w:gridCol w:w="432"/>
        <w:gridCol w:w="1"/>
        <w:gridCol w:w="477"/>
        <w:gridCol w:w="340"/>
        <w:gridCol w:w="1"/>
        <w:gridCol w:w="427"/>
        <w:gridCol w:w="1"/>
        <w:gridCol w:w="426"/>
        <w:gridCol w:w="305"/>
        <w:gridCol w:w="428"/>
        <w:gridCol w:w="2"/>
        <w:gridCol w:w="448"/>
        <w:gridCol w:w="320"/>
        <w:gridCol w:w="2"/>
        <w:gridCol w:w="425"/>
        <w:gridCol w:w="2"/>
        <w:gridCol w:w="426"/>
        <w:gridCol w:w="305"/>
        <w:gridCol w:w="427"/>
        <w:gridCol w:w="3"/>
        <w:gridCol w:w="425"/>
        <w:gridCol w:w="304"/>
        <w:gridCol w:w="428"/>
        <w:gridCol w:w="4"/>
        <w:gridCol w:w="475"/>
        <w:gridCol w:w="341"/>
        <w:gridCol w:w="482"/>
      </w:tblGrid>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Localidad</w:t>
            </w:r>
          </w:p>
        </w:tc>
        <w:tc>
          <w:tcPr>
            <w:tcW w:w="1172" w:type="dxa"/>
            <w:gridSpan w:val="4"/>
            <w:tcBorders>
              <w:top w:val="single" w:sz="6" w:space="0" w:color="000000"/>
              <w:left w:val="single" w:sz="6" w:space="0" w:color="000000"/>
              <w:bottom w:val="single" w:sz="6" w:space="0" w:color="000000"/>
              <w:insideH w:val="single" w:sz="6" w:space="0" w:color="000000"/>
            </w:tcBorders>
            <w:shd w:fill="auto" w:val="clear"/>
            <w:vAlign w:val="center"/>
          </w:tcPr>
          <w:p>
            <w:pPr>
              <w:pStyle w:val="Normal"/>
              <w:spacing w:before="0" w:after="0"/>
              <w:ind w:hanging="0"/>
              <w:jc w:val="center"/>
              <w:rPr>
                <w:rFonts w:ascii="Arial" w:hAnsi="Arial"/>
                <w:sz w:val="20"/>
                <w:szCs w:val="20"/>
                <w:lang w:val="es-ES" w:eastAsia="es-ES"/>
              </w:rPr>
            </w:pPr>
            <w:r>
              <w:rPr>
                <w:rFonts w:ascii="Arial" w:hAnsi="Arial"/>
                <w:sz w:val="20"/>
                <w:szCs w:val="20"/>
                <w:lang w:val="es-ES" w:eastAsia="es-ES"/>
              </w:rPr>
              <w:t>Reconquista</w:t>
            </w:r>
          </w:p>
        </w:tc>
        <w:tc>
          <w:tcPr>
            <w:tcW w:w="818" w:type="dxa"/>
            <w:gridSpan w:val="3"/>
            <w:tcBorders>
              <w:top w:val="single" w:sz="6" w:space="0" w:color="000000"/>
              <w:left w:val="single" w:sz="6" w:space="0" w:color="000000"/>
              <w:bottom w:val="single" w:sz="6" w:space="0" w:color="000000"/>
              <w:insideH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Rosario</w:t>
            </w:r>
          </w:p>
        </w:tc>
        <w:tc>
          <w:tcPr>
            <w:tcW w:w="428" w:type="dxa"/>
            <w:gridSpan w:val="2"/>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1161"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Córdoba</w:t>
            </w:r>
          </w:p>
        </w:tc>
        <w:tc>
          <w:tcPr>
            <w:tcW w:w="770" w:type="dxa"/>
            <w:gridSpan w:val="3"/>
            <w:tcBorders>
              <w:top w:val="single" w:sz="6" w:space="0" w:color="000000"/>
              <w:left w:val="single" w:sz="6" w:space="0" w:color="000000"/>
              <w:bottom w:val="single" w:sz="6" w:space="0" w:color="000000"/>
              <w:insideH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Paraná</w:t>
            </w:r>
          </w:p>
        </w:tc>
        <w:tc>
          <w:tcPr>
            <w:tcW w:w="427" w:type="dxa"/>
            <w:gridSpan w:val="2"/>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1161" w:type="dxa"/>
            <w:gridSpan w:val="4"/>
            <w:tcBorders>
              <w:top w:val="single" w:sz="6" w:space="0" w:color="000000"/>
              <w:left w:val="single" w:sz="6" w:space="0" w:color="000000"/>
              <w:bottom w:val="single" w:sz="6" w:space="0" w:color="000000"/>
              <w:insideH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Pergamino</w:t>
            </w:r>
          </w:p>
        </w:tc>
        <w:tc>
          <w:tcPr>
            <w:tcW w:w="1161" w:type="dxa"/>
            <w:gridSpan w:val="4"/>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Azull</w:t>
            </w:r>
          </w:p>
        </w:tc>
        <w:tc>
          <w:tcPr>
            <w:tcW w:w="129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Coronel Suarez</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Mes</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r1</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r2</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r3</w:t>
            </w:r>
          </w:p>
        </w:tc>
        <w:tc>
          <w:tcPr>
            <w:tcW w:w="479" w:type="dxa"/>
            <w:gridSpan w:val="2"/>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r1</w:t>
            </w:r>
          </w:p>
        </w:tc>
        <w:tc>
          <w:tcPr>
            <w:tcW w:w="341"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n-US" w:eastAsia="es-ES"/>
              </w:rPr>
            </w:pPr>
            <w:r>
              <w:rPr>
                <w:rFonts w:ascii="Arial" w:hAnsi="Arial"/>
                <w:szCs w:val="22"/>
                <w:lang w:val="en-US" w:eastAsia="es-ES"/>
              </w:rPr>
              <w:t>r2</w:t>
            </w:r>
          </w:p>
        </w:tc>
        <w:tc>
          <w:tcPr>
            <w:tcW w:w="482"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r3</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Enero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74</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83</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14</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14</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59</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FF0000"/>
                <w:lang w:val="es-ES" w:eastAsia="es-ES"/>
              </w:rPr>
            </w:pPr>
            <w:r>
              <w:rPr>
                <w:rFonts w:ascii="Arial" w:hAnsi="Arial"/>
                <w:b/>
                <w:color w:val="FF0000"/>
                <w:szCs w:val="22"/>
                <w:lang w:val="es-ES" w:eastAsia="es-ES"/>
              </w:rPr>
              <w:t>19</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19</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93</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lang w:val="es-ES" w:eastAsia="es-ES"/>
              </w:rPr>
            </w:pPr>
            <w:r>
              <w:rPr>
                <w:rFonts w:ascii="Arial" w:hAnsi="Arial"/>
                <w:b/>
                <w:color w:val="FF0000"/>
                <w:szCs w:val="22"/>
                <w:lang w:val="es-ES" w:eastAsia="es-ES"/>
              </w:rPr>
              <w:t>17</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17</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64</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FF0000"/>
                <w:lang w:val="es-ES" w:eastAsia="es-ES"/>
              </w:rPr>
            </w:pPr>
            <w:r>
              <w:rPr>
                <w:rFonts w:ascii="Arial" w:hAnsi="Arial"/>
                <w:b/>
                <w:color w:val="FF0000"/>
                <w:szCs w:val="22"/>
                <w:lang w:val="es-ES" w:eastAsia="es-ES"/>
              </w:rPr>
              <w:t>14</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14</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56</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15</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15</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22</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7</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7</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Febrero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121</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lang w:val="es-ES" w:eastAsia="es-ES"/>
              </w:rPr>
            </w:pPr>
            <w:r>
              <w:rPr>
                <w:rFonts w:ascii="Arial" w:hAnsi="Arial"/>
                <w:b/>
                <w:color w:val="FF0000"/>
                <w:szCs w:val="22"/>
                <w:lang w:val="es-ES" w:eastAsia="es-ES"/>
              </w:rPr>
              <w:t>17</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27</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78</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27</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64</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FF0000"/>
                <w:lang w:val="es-ES" w:eastAsia="es-ES"/>
              </w:rPr>
            </w:pPr>
            <w:r>
              <w:rPr>
                <w:rFonts w:ascii="Arial" w:hAnsi="Arial"/>
                <w:b/>
                <w:color w:val="FF0000"/>
                <w:szCs w:val="22"/>
                <w:lang w:val="es-ES" w:eastAsia="es-ES"/>
              </w:rPr>
              <w:t>20</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39</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53</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27</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62</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FF0000"/>
                <w:lang w:val="es-ES" w:eastAsia="es-ES"/>
              </w:rPr>
            </w:pPr>
            <w:r>
              <w:rPr>
                <w:rFonts w:ascii="Arial" w:hAnsi="Arial"/>
                <w:b/>
                <w:color w:val="FF0000"/>
                <w:szCs w:val="22"/>
                <w:lang w:val="es-ES" w:eastAsia="es-ES"/>
              </w:rPr>
              <w:t>13</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27</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34</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9</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24</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45</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15</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22</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Marzo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80</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38</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120</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b/>
                <w:color w:val="FF0000"/>
                <w:szCs w:val="22"/>
                <w:lang w:val="es-ES" w:eastAsia="es-ES"/>
              </w:rPr>
              <w:t>20</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47</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42</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52</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96</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lang w:val="es-ES" w:eastAsia="es-ES"/>
              </w:rPr>
            </w:pPr>
            <w:r>
              <w:rPr>
                <w:rFonts w:ascii="Arial" w:hAnsi="Arial"/>
                <w:b/>
                <w:color w:val="FF0000"/>
                <w:szCs w:val="22"/>
                <w:lang w:val="es-ES" w:eastAsia="es-ES"/>
              </w:rPr>
              <w:t>18</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45</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70</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FF0000"/>
                <w:lang w:val="es-ES" w:eastAsia="es-ES"/>
              </w:rPr>
            </w:pPr>
            <w:r>
              <w:rPr>
                <w:rFonts w:ascii="Arial" w:hAnsi="Arial"/>
                <w:b/>
                <w:color w:val="FF0000"/>
                <w:szCs w:val="22"/>
                <w:lang w:val="es-ES" w:eastAsia="es-ES"/>
              </w:rPr>
              <w:t>15</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84</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auto"/>
                <w:lang w:val="es-ES" w:eastAsia="es-ES"/>
              </w:rPr>
            </w:pPr>
            <w:r>
              <w:rPr>
                <w:rFonts w:ascii="Arial" w:hAnsi="Arial"/>
                <w:b/>
                <w:color w:val="FF0000"/>
                <w:szCs w:val="22"/>
                <w:lang w:val="es-ES" w:eastAsia="es-ES"/>
              </w:rPr>
              <w:t>22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47</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66</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b/>
                <w:b/>
                <w:color w:val="auto"/>
                <w:lang w:val="es-ES" w:eastAsia="es-ES"/>
              </w:rPr>
            </w:pPr>
            <w:r>
              <w:rPr>
                <w:rFonts w:ascii="Arial" w:hAnsi="Arial"/>
                <w:b/>
                <w:color w:val="FF0000"/>
                <w:szCs w:val="22"/>
                <w:lang w:val="es-ES" w:eastAsia="es-ES"/>
              </w:rPr>
              <w:t>22</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44</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Abril</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69</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9</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47</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67</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58</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54</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54</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56</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41</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9</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51</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14</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4</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50</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27</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9</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53</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Mayo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19</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50</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20</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61</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56</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16</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3</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59</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75</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56</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20</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5</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56</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14</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5</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58</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Junio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28</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53</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63</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1</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57</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61</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10</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58</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57</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b/>
                <w:b/>
                <w:color w:val="00B050"/>
                <w:lang w:val="es-ES" w:eastAsia="es-ES"/>
              </w:rPr>
            </w:pPr>
            <w:r>
              <w:rPr>
                <w:rFonts w:ascii="Arial" w:hAnsi="Arial"/>
                <w:b/>
                <w:color w:val="00B050"/>
                <w:szCs w:val="22"/>
                <w:lang w:val="es-ES" w:eastAsia="es-ES"/>
              </w:rPr>
              <w:t>2</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60</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Julio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1</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54</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65</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0</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0</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57</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14</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3</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61</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15</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4</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61</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5</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b/>
                <w:b/>
                <w:color w:val="00B050"/>
                <w:lang w:val="es-ES" w:eastAsia="es-ES"/>
              </w:rPr>
            </w:pPr>
            <w:r>
              <w:rPr>
                <w:rFonts w:ascii="Arial" w:hAnsi="Arial"/>
                <w:b/>
                <w:color w:val="00B050"/>
                <w:szCs w:val="22"/>
                <w:lang w:val="es-ES" w:eastAsia="es-ES"/>
              </w:rPr>
              <w:t>2</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62</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Agosto</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11</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56</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67</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58</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1</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64</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9</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63</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20</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5</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67</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13</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b/>
                <w:b/>
                <w:color w:val="00B050"/>
                <w:lang w:val="es-ES" w:eastAsia="es-ES"/>
              </w:rPr>
            </w:pPr>
            <w:r>
              <w:rPr>
                <w:rFonts w:ascii="Arial" w:hAnsi="Arial"/>
                <w:b/>
                <w:color w:val="00B050"/>
                <w:szCs w:val="22"/>
                <w:lang w:val="es-ES" w:eastAsia="es-ES"/>
              </w:rPr>
              <w:t>4</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66</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Septiembre</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18</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58</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69</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1</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59</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12</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2</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66</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17</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4</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67</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15</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4</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71</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8</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b/>
                <w:b/>
                <w:color w:val="00B050"/>
                <w:lang w:val="es-ES" w:eastAsia="es-ES"/>
              </w:rPr>
            </w:pPr>
            <w:r>
              <w:rPr>
                <w:rFonts w:ascii="Arial" w:hAnsi="Arial"/>
                <w:b/>
                <w:color w:val="00B050"/>
                <w:szCs w:val="22"/>
                <w:lang w:val="es-ES" w:eastAsia="es-ES"/>
              </w:rPr>
              <w:t>3</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69</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Octubre</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103</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14</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72</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51</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77</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36</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70</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64</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12</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78</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52</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11</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78</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20</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b/>
                <w:b/>
                <w:color w:val="00B050"/>
                <w:lang w:val="es-ES" w:eastAsia="es-ES"/>
              </w:rPr>
            </w:pPr>
            <w:r>
              <w:rPr>
                <w:rFonts w:ascii="Arial" w:hAnsi="Arial"/>
                <w:b/>
                <w:color w:val="00B050"/>
                <w:szCs w:val="22"/>
                <w:lang w:val="es-ES" w:eastAsia="es-ES"/>
              </w:rPr>
              <w:t>5</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76</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19</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6</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75</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Noviembre</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74</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82</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67</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88</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41</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13</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83</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56</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89</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50</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11</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89</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42</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11</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87</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35</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12</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87</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Diciembre</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129</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18</w:t>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100</w:t>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71</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12</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100</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52</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17</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100</w:t>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59</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11</w:t>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100</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59</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12</w:t>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100</w:t>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47</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13</w:t>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100</w:t>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36</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12</w:t>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100</w:t>
            </w:r>
          </w:p>
        </w:tc>
      </w:tr>
      <w:tr>
        <w:trPr>
          <w:trHeight w:val="247" w:hRule="atLeast"/>
        </w:trPr>
        <w:tc>
          <w:tcPr>
            <w:tcW w:w="12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left"/>
              <w:rPr>
                <w:rFonts w:ascii="Arial" w:hAnsi="Arial"/>
                <w:lang w:val="es-ES" w:eastAsia="es-ES"/>
              </w:rPr>
            </w:pPr>
            <w:r>
              <w:rPr>
                <w:rFonts w:ascii="Arial" w:hAnsi="Arial"/>
                <w:szCs w:val="22"/>
                <w:lang w:val="es-ES" w:eastAsia="es-ES"/>
              </w:rPr>
              <w:t>R anual</w:t>
            </w:r>
          </w:p>
          <w:p>
            <w:pPr>
              <w:pStyle w:val="Normal"/>
              <w:spacing w:before="0" w:after="0"/>
              <w:ind w:hanging="0"/>
              <w:jc w:val="left"/>
              <w:rPr>
                <w:rFonts w:ascii="Arial" w:hAnsi="Arial"/>
                <w:color w:val="auto"/>
                <w:sz w:val="18"/>
                <w:szCs w:val="18"/>
                <w:lang w:val="pt-BR" w:eastAsia="es-ES"/>
              </w:rPr>
            </w:pPr>
            <w:r>
              <w:rPr>
                <w:rFonts w:cs="Arial" w:ascii="Arial" w:hAnsi="Arial"/>
                <w:color w:val="auto"/>
                <w:sz w:val="18"/>
                <w:szCs w:val="18"/>
                <w:lang w:val="pt-BR" w:eastAsia="es-ES"/>
              </w:rPr>
              <w:t>[</w:t>
            </w:r>
            <w:r>
              <w:rPr/>
            </w:r>
            <m:oMath xmlns:m="http://schemas.openxmlformats.org/officeDocument/2006/math">
              <m:acc>
                <m:accPr>
                  <m:chr m:val="´"/>
                </m:accPr>
                <m:e>
                  <m:r>
                    <w:rPr>
                      <w:rFonts w:ascii="Cambria Math" w:hAnsi="Cambria Math"/>
                    </w:rPr>
                    <m:t xml:space="preserve">t</m:t>
                  </m:r>
                </m:e>
              </m:acc>
            </m:oMath>
            <w:r>
              <w:rPr>
                <w:rFonts w:ascii="Arial" w:hAnsi="Arial"/>
                <w:color w:val="auto"/>
                <w:sz w:val="18"/>
                <w:szCs w:val="18"/>
                <w:lang w:val="pt-BR" w:eastAsia="es-ES"/>
              </w:rPr>
              <w:t xml:space="preserve"> m mm/há h año</w:t>
            </w:r>
            <w:r>
              <w:rPr>
                <w:rFonts w:cs="Arial" w:ascii="Arial" w:hAnsi="Arial"/>
                <w:color w:val="auto"/>
                <w:sz w:val="18"/>
                <w:szCs w:val="18"/>
                <w:lang w:val="pt-BR" w:eastAsia="es-ES"/>
              </w:rPr>
              <w:t>]</w:t>
            </w:r>
          </w:p>
          <w:p>
            <w:pPr>
              <w:pStyle w:val="Normal"/>
              <w:spacing w:before="0" w:after="0"/>
              <w:ind w:hanging="0"/>
              <w:jc w:val="left"/>
              <w:rPr>
                <w:rFonts w:ascii="Arial" w:hAnsi="Arial"/>
                <w:lang w:val="es-ES" w:eastAsia="es-ES"/>
              </w:rPr>
            </w:pPr>
            <w:r>
              <w:rPr>
                <w:rFonts w:ascii="Arial" w:hAnsi="Arial"/>
                <w:lang w:val="es-ES" w:eastAsia="es-ES"/>
              </w:rPr>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732</w:t>
            </w:r>
          </w:p>
        </w:tc>
        <w:tc>
          <w:tcPr>
            <w:tcW w:w="3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7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603</w:t>
            </w:r>
          </w:p>
        </w:tc>
        <w:tc>
          <w:tcPr>
            <w:tcW w:w="34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315</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szCs w:val="22"/>
                <w:lang w:val="es-ES" w:eastAsia="es-ES"/>
              </w:rPr>
              <w:t>532</w:t>
            </w:r>
          </w:p>
        </w:tc>
        <w:tc>
          <w:tcPr>
            <w:tcW w:w="3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2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lang w:val="es-ES" w:eastAsia="es-ES"/>
              </w:rPr>
            </w:pPr>
            <w:r>
              <w:rPr>
                <w:rFonts w:ascii="Arial" w:hAnsi="Arial"/>
                <w:lang w:val="es-ES" w:eastAsia="es-ES"/>
              </w:rPr>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473</w:t>
            </w:r>
          </w:p>
        </w:tc>
        <w:tc>
          <w:tcPr>
            <w:tcW w:w="30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lang w:val="es-ES" w:eastAsia="es-ES"/>
              </w:rPr>
            </w:r>
          </w:p>
        </w:tc>
        <w:tc>
          <w:tcPr>
            <w:tcW w:w="4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lang w:val="es-ES" w:eastAsia="es-ES"/>
              </w:rPr>
            </w:r>
          </w:p>
        </w:tc>
        <w:tc>
          <w:tcPr>
            <w:tcW w:w="42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center"/>
              <w:rPr>
                <w:rFonts w:ascii="Arial" w:hAnsi="Arial"/>
                <w:color w:val="auto"/>
                <w:lang w:val="es-ES" w:eastAsia="es-ES"/>
              </w:rPr>
            </w:pPr>
            <w:r>
              <w:rPr>
                <w:rFonts w:ascii="Arial" w:hAnsi="Arial"/>
                <w:color w:val="auto"/>
                <w:szCs w:val="22"/>
                <w:lang w:val="es-ES" w:eastAsia="es-ES"/>
              </w:rPr>
              <w:t>374</w:t>
            </w:r>
          </w:p>
        </w:tc>
        <w:tc>
          <w:tcPr>
            <w:tcW w:w="3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lang w:val="es-ES" w:eastAsia="es-ES"/>
              </w:rPr>
            </w:r>
          </w:p>
        </w:tc>
        <w:tc>
          <w:tcPr>
            <w:tcW w:w="4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lang w:val="es-ES" w:eastAsia="es-ES"/>
              </w:rPr>
            </w:r>
          </w:p>
        </w:tc>
        <w:tc>
          <w:tcPr>
            <w:tcW w:w="47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szCs w:val="22"/>
                <w:lang w:val="es-ES" w:eastAsia="es-ES"/>
              </w:rPr>
              <w:t>296</w:t>
            </w:r>
          </w:p>
        </w:tc>
        <w:tc>
          <w:tcPr>
            <w:tcW w:w="3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lang w:val="es-ES" w:eastAsia="es-ES"/>
              </w:rPr>
            </w:r>
          </w:p>
        </w:tc>
        <w:tc>
          <w:tcPr>
            <w:tcW w:w="4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before="0" w:after="0"/>
              <w:ind w:hanging="0"/>
              <w:jc w:val="right"/>
              <w:rPr>
                <w:rFonts w:ascii="Arial" w:hAnsi="Arial"/>
                <w:color w:val="auto"/>
                <w:lang w:val="es-ES" w:eastAsia="es-ES"/>
              </w:rPr>
            </w:pPr>
            <w:r>
              <w:rPr>
                <w:rFonts w:ascii="Arial" w:hAnsi="Arial"/>
                <w:color w:val="auto"/>
                <w:lang w:val="es-ES" w:eastAsia="es-ES"/>
              </w:rPr>
            </w:r>
          </w:p>
        </w:tc>
      </w:tr>
    </w:tbl>
    <w:p>
      <w:pPr>
        <w:pStyle w:val="Normal"/>
        <w:rPr/>
      </w:pPr>
      <w:r>
        <w:rPr/>
      </w:r>
    </w:p>
    <w:tbl>
      <w:tblPr>
        <w:tblW w:w="9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2479"/>
        <w:gridCol w:w="2173"/>
        <w:gridCol w:w="2174"/>
        <w:gridCol w:w="2174"/>
      </w:tblGrid>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spacing w:before="0" w:after="0"/>
              <w:ind w:hanging="0"/>
              <w:jc w:val="left"/>
              <w:outlineLvl w:val="1"/>
              <w:rPr>
                <w:rFonts w:ascii="Arial" w:hAnsi="Arial"/>
                <w:iCs/>
                <w:color w:val="auto"/>
                <w:lang w:val="es-ES" w:eastAsia="es-ES"/>
              </w:rPr>
            </w:pPr>
            <w:r>
              <w:rPr>
                <w:rFonts w:ascii="Arial" w:hAnsi="Arial"/>
                <w:iCs/>
                <w:color w:val="auto"/>
                <w:lang w:val="es-ES" w:eastAsia="es-ES"/>
              </w:rPr>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Siembra de Maíz</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Siembra de Trigo</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center"/>
              <w:rPr>
                <w:rFonts w:ascii="Arial" w:hAnsi="Arial"/>
                <w:b/>
                <w:b/>
                <w:bCs/>
                <w:iCs/>
                <w:color w:val="auto"/>
                <w:lang w:val="es-ES" w:eastAsia="es-ES"/>
              </w:rPr>
            </w:pPr>
            <w:r>
              <w:rPr>
                <w:rFonts w:ascii="Arial" w:hAnsi="Arial"/>
                <w:b/>
                <w:bCs/>
                <w:iCs/>
                <w:color w:val="auto"/>
                <w:szCs w:val="22"/>
                <w:lang w:val="es-ES" w:eastAsia="es-ES"/>
              </w:rPr>
              <w:t>Pasturas</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numPr>
                <w:ilvl w:val="0"/>
                <w:numId w:val="0"/>
              </w:numPr>
              <w:spacing w:before="0" w:after="0"/>
              <w:ind w:hanging="0"/>
              <w:jc w:val="left"/>
              <w:outlineLvl w:val="1"/>
              <w:rPr>
                <w:rFonts w:ascii="Arial" w:hAnsi="Arial"/>
                <w:b/>
                <w:b/>
                <w:bCs/>
                <w:iCs/>
                <w:color w:val="auto"/>
                <w:lang w:val="es-ES" w:eastAsia="es-ES"/>
              </w:rPr>
            </w:pPr>
            <w:r>
              <w:rPr>
                <w:rFonts w:ascii="Arial" w:hAnsi="Arial"/>
                <w:b/>
                <w:bCs/>
                <w:iCs/>
                <w:color w:val="auto"/>
                <w:szCs w:val="22"/>
                <w:lang w:val="es-ES" w:eastAsia="es-ES"/>
              </w:rPr>
              <w:t>Reconquista</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20/8 al 10/9</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 al 30/5</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Rosario</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15/9</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15/7 a 30/7</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Córdoba</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15/9 a 30/9</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20/7</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Paraná</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15/9</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15/7 a 30/7</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Pergamino</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20/9</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15/7</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Azul</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10/10</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10/6 a 15/8</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r>
        <w:trPr/>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b/>
                <w:b/>
                <w:bCs/>
                <w:iCs/>
                <w:color w:val="auto"/>
                <w:lang w:val="es-ES" w:eastAsia="es-ES"/>
              </w:rPr>
            </w:pPr>
            <w:r>
              <w:rPr>
                <w:rFonts w:ascii="Arial" w:hAnsi="Arial"/>
                <w:b/>
                <w:bCs/>
                <w:iCs/>
                <w:color w:val="auto"/>
                <w:szCs w:val="22"/>
                <w:lang w:val="es-ES" w:eastAsia="es-ES"/>
              </w:rPr>
              <w:t>Coronel Suarez</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1/10 a 15/10</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10/6 a 10/8</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hanging="0"/>
              <w:jc w:val="left"/>
              <w:rPr>
                <w:rFonts w:ascii="Arial" w:hAnsi="Arial"/>
                <w:iCs/>
                <w:color w:val="auto"/>
                <w:lang w:val="es-ES" w:eastAsia="es-ES"/>
              </w:rPr>
            </w:pPr>
            <w:r>
              <w:rPr>
                <w:rFonts w:ascii="Arial" w:hAnsi="Arial"/>
                <w:iCs/>
                <w:color w:val="auto"/>
                <w:szCs w:val="22"/>
                <w:lang w:val="es-ES" w:eastAsia="es-ES"/>
              </w:rPr>
              <w:t>15/2 al 15/3</w:t>
            </w:r>
          </w:p>
        </w:tc>
      </w:tr>
    </w:tbl>
    <w:p>
      <w:pPr>
        <w:pStyle w:val="Normal"/>
        <w:rPr/>
      </w:pPr>
      <w:commentRangeStart w:id="9"/>
      <w:r>
        <w:rPr/>
        <w:t>----</w:t>
      </w:r>
      <w:commentRangeEnd w:id="9"/>
      <w:r>
        <w:commentReference w:id="9"/>
      </w:r>
      <w:r>
        <w:rPr/>
      </w:r>
    </w:p>
    <w:p>
      <w:pPr>
        <w:pStyle w:val="Ttulo2"/>
        <w:rPr/>
      </w:pPr>
      <w:bookmarkStart w:id="17" w:name="_Toc494448988"/>
      <w:bookmarkStart w:id="18" w:name="_Toc494448772"/>
      <w:r>
        <w:rPr/>
        <w:t>ERODABILIDAD DEL SUELO (K)</w:t>
      </w:r>
      <w:bookmarkEnd w:id="17"/>
      <w:bookmarkEnd w:id="18"/>
    </w:p>
    <w:p>
      <w:pPr>
        <w:pStyle w:val="Normal"/>
        <w:rPr/>
      </w:pPr>
      <w:r>
        <w:rPr/>
        <w:t>Para estimar el valor de la susceptibilidad de los suelos a la erosión hídrica (K) es necesario contar con datos edáficos específicos. El valor de K en unidades del sistema métrico decimal, se calcula mediante la siguiente ecuación modificada de Wischmeier y Smith (1978)</w:t>
      </w:r>
    </w:p>
    <w:p>
      <w:pPr>
        <w:pStyle w:val="Normal"/>
        <w:rPr/>
      </w:pPr>
      <w:r>
        <w:rPr/>
      </w:r>
    </w:p>
    <w:p>
      <w:pPr>
        <w:pStyle w:val="Normal"/>
        <w:rPr>
          <w:rFonts w:cs="Arial"/>
          <w:szCs w:val="22"/>
        </w:rPr>
      </w:pPr>
      <w:r>
        <w:rPr/>
      </w:r>
      <m:oMath xmlns:m="http://schemas.openxmlformats.org/officeDocument/2006/math">
        <m:r>
          <w:rPr>
            <w:rFonts w:ascii="Cambria Math" w:hAnsi="Cambria Math"/>
          </w:rPr>
          <m:t xml:space="preserve">100</m:t>
        </m:r>
        <m:r>
          <w:rPr>
            <w:rFonts w:ascii="Cambria Math" w:hAnsi="Cambria Math"/>
          </w:rPr>
          <m:t xml:space="preserve">K</m:t>
        </m:r>
        <m:r>
          <w:rPr>
            <w:rFonts w:ascii="Cambria Math" w:hAnsi="Cambria Math"/>
          </w:rPr>
          <m:t xml:space="preserve">=</m:t>
        </m:r>
        <m:r>
          <w:rPr>
            <w:rFonts w:ascii="Cambria Math" w:hAnsi="Cambria Math"/>
          </w:rPr>
          <m:t xml:space="preserve">1,292</m:t>
        </m:r>
        <m:r>
          <w:rPr>
            <w:rFonts w:ascii="Cambria Math" w:hAnsi="Cambria Math"/>
          </w:rPr>
          <m:t xml:space="preserve">.</m:t>
        </m:r>
        <m:d>
          <m:dPr>
            <m:begChr m:val="["/>
            <m:endChr m:val="]"/>
          </m:dPr>
          <m:e>
            <m:sSup>
              <m:e>
                <m:r>
                  <w:rPr>
                    <w:rFonts w:ascii="Cambria Math" w:hAnsi="Cambria Math"/>
                  </w:rPr>
                  <m:t xml:space="preserve">2,1</m:t>
                </m:r>
                <m:r>
                  <w:rPr>
                    <w:rFonts w:ascii="Cambria Math" w:hAnsi="Cambria Math"/>
                  </w:rPr>
                  <m:t xml:space="preserve">M</m:t>
                </m:r>
              </m:e>
              <m:sup>
                <m:r>
                  <w:rPr>
                    <w:rFonts w:ascii="Cambria Math" w:hAnsi="Cambria Math"/>
                  </w:rPr>
                  <m:t xml:space="preserve">1,14</m:t>
                </m:r>
              </m:sup>
            </m:sSup>
            <m:r>
              <w:rPr>
                <w:rFonts w:ascii="Cambria Math" w:hAnsi="Cambria Math"/>
              </w:rPr>
              <m:t xml:space="preserve">.</m:t>
            </m:r>
            <m:sSup>
              <m:e>
                <m:r>
                  <w:rPr>
                    <w:rFonts w:ascii="Cambria Math" w:hAnsi="Cambria Math"/>
                  </w:rPr>
                  <m:t xml:space="preserve">10</m:t>
                </m:r>
              </m:e>
              <m:sup>
                <m:r>
                  <w:rPr>
                    <w:rFonts w:ascii="Cambria Math" w:hAnsi="Cambria Math"/>
                  </w:rPr>
                  <m:t xml:space="preserve">–</m:t>
                </m:r>
                <m:r>
                  <w:rPr>
                    <w:rFonts w:ascii="Cambria Math" w:hAnsi="Cambria Math"/>
                  </w:rPr>
                  <m:t xml:space="preserve">4</m:t>
                </m:r>
              </m:sup>
            </m:sSup>
            <m:r>
              <w:rPr>
                <w:rFonts w:ascii="Cambria Math" w:hAnsi="Cambria Math"/>
              </w:rPr>
              <m:t xml:space="preserve">.</m:t>
            </m:r>
            <m:d>
              <m:dPr>
                <m:begChr m:val="("/>
                <m:endChr m:val=")"/>
              </m:dPr>
              <m:e>
                <m:r>
                  <w:rPr>
                    <w:rFonts w:ascii="Cambria Math" w:hAnsi="Cambria Math"/>
                  </w:rPr>
                  <m:t xml:space="preserve">12</m:t>
                </m:r>
                <m:r>
                  <w:rPr>
                    <w:rFonts w:ascii="Cambria Math" w:hAnsi="Cambria Math"/>
                  </w:rPr>
                  <m:t xml:space="preserve">–</m:t>
                </m:r>
                <m:r>
                  <w:rPr>
                    <w:rFonts w:ascii="Cambria Math" w:hAnsi="Cambria Math"/>
                  </w:rPr>
                  <m:t xml:space="preserve">a</m:t>
                </m:r>
              </m:e>
            </m:d>
            <m:r>
              <w:rPr>
                <w:rFonts w:ascii="Cambria Math" w:hAnsi="Cambria Math"/>
              </w:rPr>
              <m:t xml:space="preserve">+</m:t>
            </m:r>
            <m:r>
              <w:rPr>
                <w:rFonts w:ascii="Cambria Math" w:hAnsi="Cambria Math"/>
              </w:rPr>
              <m:t xml:space="preserve">3,25</m:t>
            </m:r>
            <m:r>
              <w:rPr>
                <w:rFonts w:ascii="Cambria Math" w:hAnsi="Cambria Math"/>
              </w:rPr>
              <m:t xml:space="preserve">.</m:t>
            </m:r>
            <m:d>
              <m:dPr>
                <m:begChr m:val="("/>
                <m:endChr m:val=")"/>
              </m:dPr>
              <m:e>
                <m:r>
                  <w:rPr>
                    <w:rFonts w:ascii="Cambria Math" w:hAnsi="Cambria Math"/>
                  </w:rPr>
                  <m:t xml:space="preserve">b</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2,5</m:t>
            </m:r>
            <m:r>
              <w:rPr>
                <w:rFonts w:ascii="Cambria Math" w:hAnsi="Cambria Math"/>
              </w:rPr>
              <m:t xml:space="preserve">.</m:t>
            </m:r>
            <m:d>
              <m:dPr>
                <m:begChr m:val="("/>
                <m:endChr m:val=")"/>
              </m:dPr>
              <m:e>
                <m:r>
                  <w:rPr>
                    <w:rFonts w:ascii="Cambria Math" w:hAnsi="Cambria Math"/>
                  </w:rPr>
                  <m:t xml:space="preserve">c</m:t>
                </m:r>
                <m:r>
                  <w:rPr>
                    <w:rFonts w:ascii="Cambria Math" w:hAnsi="Cambria Math"/>
                  </w:rPr>
                  <m:t xml:space="preserve">−</m:t>
                </m:r>
                <m:r>
                  <w:rPr>
                    <w:rFonts w:ascii="Cambria Math" w:hAnsi="Cambria Math"/>
                  </w:rPr>
                  <m:t xml:space="preserve">3</m:t>
                </m:r>
              </m:e>
            </m:d>
          </m:e>
        </m:d>
      </m:oMath>
    </w:p>
    <w:p>
      <w:pPr>
        <w:pStyle w:val="Normal"/>
        <w:rPr/>
      </w:pPr>
      <w:r>
        <w:rPr/>
      </w:r>
    </w:p>
    <w:p>
      <w:pPr>
        <w:pStyle w:val="Vietascrculos"/>
        <w:numPr>
          <w:ilvl w:val="0"/>
          <w:numId w:val="2"/>
        </w:numPr>
        <w:rPr/>
      </w:pPr>
      <w:r>
        <w:rPr/>
        <w:t>K:( t/ha) x R(SMD)</w:t>
      </w:r>
      <w:r>
        <w:rPr>
          <w:vertAlign w:val="superscript"/>
        </w:rPr>
        <w:t>-1</w:t>
      </w:r>
    </w:p>
    <w:p>
      <w:pPr>
        <w:pStyle w:val="Vietascrculos"/>
        <w:numPr>
          <w:ilvl w:val="0"/>
          <w:numId w:val="2"/>
        </w:numPr>
        <w:rPr/>
      </w:pPr>
      <w:r>
        <w:rPr/>
        <w:t>M: (% limo +% arena muy fina ) * (100 - % de arcilla)</w:t>
      </w:r>
    </w:p>
    <w:p>
      <w:pPr>
        <w:pStyle w:val="Vietascrculos"/>
        <w:numPr>
          <w:ilvl w:val="0"/>
          <w:numId w:val="0"/>
        </w:numPr>
        <w:ind w:left="714" w:firstLine="567"/>
        <w:rPr>
          <w:i/>
          <w:i/>
          <w:highlight w:val="yellow"/>
        </w:rPr>
      </w:pPr>
      <w:r>
        <w:rPr>
          <w:i/>
          <w:highlight w:val="yellow"/>
        </w:rPr>
        <w:t>Arcilla: fracción &lt; 2 µm</w:t>
      </w:r>
    </w:p>
    <w:p>
      <w:pPr>
        <w:pStyle w:val="Vietascrculos"/>
        <w:numPr>
          <w:ilvl w:val="0"/>
          <w:numId w:val="0"/>
        </w:numPr>
        <w:ind w:left="714" w:firstLine="567"/>
        <w:rPr>
          <w:i/>
          <w:i/>
          <w:highlight w:val="yellow"/>
        </w:rPr>
      </w:pPr>
      <w:r>
        <w:rPr>
          <w:i/>
          <w:highlight w:val="yellow"/>
        </w:rPr>
        <w:t>Limo: 2 a 50 µm</w:t>
      </w:r>
    </w:p>
    <w:p>
      <w:pPr>
        <w:pStyle w:val="Vietascrculos"/>
        <w:numPr>
          <w:ilvl w:val="0"/>
          <w:numId w:val="0"/>
        </w:numPr>
        <w:ind w:left="714" w:firstLine="567"/>
        <w:rPr>
          <w:i/>
          <w:i/>
        </w:rPr>
      </w:pPr>
      <w:r>
        <w:rPr>
          <w:i/>
          <w:highlight w:val="yellow"/>
        </w:rPr>
        <w:t>Arena muy fina: 50 a 100 µm</w:t>
      </w:r>
    </w:p>
    <w:p>
      <w:pPr>
        <w:pStyle w:val="Vietascrculos"/>
        <w:numPr>
          <w:ilvl w:val="0"/>
          <w:numId w:val="2"/>
        </w:numPr>
        <w:rPr/>
      </w:pPr>
      <w:r>
        <w:rPr/>
        <w:t>a: % de materia orgánica de la capa superficial del suelo.</w:t>
      </w:r>
    </w:p>
    <w:p>
      <w:pPr>
        <w:pStyle w:val="Vietascrculos"/>
        <w:numPr>
          <w:ilvl w:val="0"/>
          <w:numId w:val="0"/>
        </w:numPr>
        <w:ind w:left="714" w:firstLine="567"/>
        <w:rPr>
          <w:i/>
          <w:i/>
        </w:rPr>
      </w:pPr>
      <w:r>
        <w:rPr>
          <w:i/>
        </w:rPr>
        <w:t>Cuando el dato disponible es en carbono orgánico debe multiplicarse por 1.724</w:t>
      </w:r>
    </w:p>
    <w:p>
      <w:pPr>
        <w:pStyle w:val="Vietascrculos"/>
        <w:numPr>
          <w:ilvl w:val="0"/>
          <w:numId w:val="2"/>
        </w:numPr>
        <w:rPr/>
      </w:pPr>
      <w:r>
        <w:rPr/>
        <w:t>b: estructura superficial, corresponde 1, 2, 3 o 4 según la siguiente escala:</w:t>
      </w:r>
    </w:p>
    <w:p>
      <w:pPr>
        <w:pStyle w:val="Vietasletras"/>
        <w:numPr>
          <w:ilvl w:val="0"/>
          <w:numId w:val="0"/>
        </w:numPr>
        <w:ind w:left="720" w:firstLine="567"/>
        <w:rPr/>
      </w:pPr>
      <w:r>
        <w:rPr>
          <w:b/>
        </w:rPr>
        <w:t>Estructura superficial</w:t>
      </w:r>
      <w:r>
        <w:rPr/>
        <w:tab/>
        <w:tab/>
        <w:tab/>
        <w:tab/>
        <w:tab/>
        <w:tab/>
        <w:tab/>
      </w:r>
      <w:r>
        <w:rPr>
          <w:b/>
        </w:rPr>
        <w:t>Valor de b</w:t>
      </w:r>
    </w:p>
    <w:p>
      <w:pPr>
        <w:pStyle w:val="Vietasletras"/>
        <w:numPr>
          <w:ilvl w:val="0"/>
          <w:numId w:val="0"/>
        </w:numPr>
        <w:ind w:left="360" w:firstLine="567"/>
        <w:rPr/>
      </w:pPr>
      <w:r>
        <w:rPr/>
        <w:t>Muy buena estructura. Granular muy fina</w:t>
        <w:tab/>
        <w:tab/>
        <w:tab/>
        <w:tab/>
        <w:t>1</w:t>
      </w:r>
    </w:p>
    <w:p>
      <w:pPr>
        <w:pStyle w:val="Vietasletras"/>
        <w:numPr>
          <w:ilvl w:val="0"/>
          <w:numId w:val="0"/>
        </w:numPr>
        <w:ind w:left="360" w:firstLine="567"/>
        <w:rPr/>
      </w:pPr>
      <w:r>
        <w:rPr/>
        <w:t>Buena estructura. Granular fina</w:t>
        <w:tab/>
        <w:tab/>
        <w:tab/>
        <w:tab/>
        <w:tab/>
        <w:tab/>
        <w:tab/>
        <w:t>2</w:t>
      </w:r>
    </w:p>
    <w:p>
      <w:pPr>
        <w:pStyle w:val="Vietasletras"/>
        <w:numPr>
          <w:ilvl w:val="0"/>
          <w:numId w:val="0"/>
        </w:numPr>
        <w:ind w:left="360" w:firstLine="567"/>
        <w:rPr/>
      </w:pPr>
      <w:r>
        <w:rPr/>
        <w:t>Estructura regular</w:t>
        <w:tab/>
        <w:tab/>
        <w:tab/>
        <w:tab/>
        <w:tab/>
        <w:tab/>
        <w:tab/>
        <w:tab/>
        <w:tab/>
        <w:tab/>
        <w:t>3</w:t>
      </w:r>
    </w:p>
    <w:p>
      <w:pPr>
        <w:pStyle w:val="Vietasletras"/>
        <w:numPr>
          <w:ilvl w:val="0"/>
          <w:numId w:val="0"/>
        </w:numPr>
        <w:ind w:left="360" w:firstLine="567"/>
        <w:rPr/>
      </w:pPr>
      <w:r>
        <w:rPr/>
        <w:t>Mala estructura. Bloques, laminar o masiva</w:t>
        <w:tab/>
        <w:tab/>
        <w:tab/>
        <w:tab/>
        <w:t>4</w:t>
      </w:r>
    </w:p>
    <w:p>
      <w:pPr>
        <w:pStyle w:val="Vietascrculos"/>
        <w:numPr>
          <w:ilvl w:val="0"/>
          <w:numId w:val="2"/>
        </w:numPr>
        <w:rPr/>
      </w:pPr>
      <w:r>
        <w:rPr/>
        <w:t xml:space="preserve">c: permeabilidad de la </w:t>
      </w:r>
      <w:r>
        <w:rPr>
          <w:highlight w:val="yellow"/>
        </w:rPr>
        <w:t>capa menos permeable del perfil</w:t>
      </w:r>
      <w:r>
        <w:rPr/>
        <w:t>, corresponde 1 a 6 según la siguiente tabla:</w:t>
      </w:r>
    </w:p>
    <w:p>
      <w:pPr>
        <w:pStyle w:val="Normal"/>
        <w:spacing w:before="0" w:after="0"/>
        <w:rPr>
          <w:b/>
          <w:b/>
          <w:lang w:val="pt-BR"/>
        </w:rPr>
      </w:pPr>
      <w:r>
        <w:rPr>
          <w:b/>
          <w:lang w:val="pt-BR"/>
        </w:rPr>
        <w:t>Permeabilidad</w:t>
        <w:tab/>
        <w:tab/>
        <w:tab/>
        <w:tab/>
        <w:tab/>
        <w:tab/>
        <w:tab/>
        <w:tab/>
        <w:tab/>
        <w:t>Valor de c</w:t>
      </w:r>
    </w:p>
    <w:p>
      <w:pPr>
        <w:pStyle w:val="Vietasletras"/>
        <w:numPr>
          <w:ilvl w:val="0"/>
          <w:numId w:val="0"/>
        </w:numPr>
        <w:ind w:left="360" w:firstLine="567"/>
        <w:rPr>
          <w:lang w:val="pt-BR"/>
        </w:rPr>
      </w:pPr>
      <w:r>
        <w:rPr>
          <w:lang w:val="pt-BR"/>
        </w:rPr>
        <w:t>Rápida, mayor a 12,5 cm/h</w:t>
        <w:tab/>
        <w:tab/>
        <w:tab/>
        <w:tab/>
        <w:tab/>
        <w:tab/>
        <w:tab/>
        <w:tab/>
        <w:t>1</w:t>
      </w:r>
    </w:p>
    <w:p>
      <w:pPr>
        <w:pStyle w:val="Vietasletras"/>
        <w:numPr>
          <w:ilvl w:val="0"/>
          <w:numId w:val="0"/>
        </w:numPr>
        <w:ind w:left="360" w:firstLine="567"/>
        <w:rPr>
          <w:lang w:val="pt-BR"/>
        </w:rPr>
      </w:pPr>
      <w:r>
        <w:rPr>
          <w:lang w:val="pt-BR"/>
        </w:rPr>
        <w:t>Moderadamente rápida, de 6,25 a 12,5 cm/h</w:t>
        <w:tab/>
        <w:tab/>
        <w:tab/>
        <w:t>2</w:t>
      </w:r>
    </w:p>
    <w:p>
      <w:pPr>
        <w:pStyle w:val="Vietasletras"/>
        <w:numPr>
          <w:ilvl w:val="0"/>
          <w:numId w:val="0"/>
        </w:numPr>
        <w:ind w:left="360" w:firstLine="567"/>
        <w:rPr>
          <w:lang w:val="pt-BR"/>
        </w:rPr>
      </w:pPr>
      <w:r>
        <w:rPr>
          <w:lang w:val="pt-BR"/>
        </w:rPr>
        <w:t>Moderada, de 2,0 a 6,25 cm/h</w:t>
        <w:tab/>
        <w:tab/>
        <w:tab/>
        <w:tab/>
        <w:tab/>
        <w:tab/>
        <w:tab/>
        <w:t>3</w:t>
      </w:r>
    </w:p>
    <w:p>
      <w:pPr>
        <w:pStyle w:val="Vietasletras"/>
        <w:numPr>
          <w:ilvl w:val="0"/>
          <w:numId w:val="0"/>
        </w:numPr>
        <w:ind w:left="360" w:firstLine="567"/>
        <w:rPr>
          <w:lang w:val="pt-BR"/>
        </w:rPr>
      </w:pPr>
      <w:r>
        <w:rPr>
          <w:lang w:val="pt-BR"/>
        </w:rPr>
        <w:t>Moderadamente lenta, de 0,5 a 2,0 cm/h</w:t>
        <w:tab/>
        <w:tab/>
        <w:tab/>
        <w:tab/>
        <w:t>4</w:t>
      </w:r>
    </w:p>
    <w:p>
      <w:pPr>
        <w:pStyle w:val="Vietasletras"/>
        <w:numPr>
          <w:ilvl w:val="0"/>
          <w:numId w:val="0"/>
        </w:numPr>
        <w:ind w:left="360" w:firstLine="567"/>
        <w:rPr>
          <w:lang w:val="pt-BR"/>
        </w:rPr>
      </w:pPr>
      <w:r>
        <w:rPr>
          <w:lang w:val="pt-BR"/>
        </w:rPr>
        <w:t>Lenta, de 0,125 a 0,5 cm/h</w:t>
        <w:tab/>
        <w:tab/>
        <w:tab/>
        <w:tab/>
        <w:tab/>
        <w:tab/>
        <w:tab/>
        <w:tab/>
        <w:t>5</w:t>
      </w:r>
    </w:p>
    <w:p>
      <w:pPr>
        <w:pStyle w:val="Vietasletras"/>
        <w:numPr>
          <w:ilvl w:val="0"/>
          <w:numId w:val="0"/>
        </w:numPr>
        <w:ind w:left="360" w:firstLine="567"/>
        <w:rPr/>
      </w:pPr>
      <w:r>
        <w:rPr/>
        <w:t>Muy lenta, inferior a 0,125 cm/h</w:t>
        <w:tab/>
        <w:tab/>
        <w:tab/>
        <w:tab/>
        <w:tab/>
        <w:tab/>
        <w:t>6</w:t>
      </w:r>
    </w:p>
    <w:p>
      <w:pPr>
        <w:pStyle w:val="Normal"/>
        <w:rPr/>
      </w:pPr>
      <w:r>
        <w:rPr/>
      </w:r>
    </w:p>
    <w:p>
      <w:pPr>
        <w:pStyle w:val="Ttulo3"/>
        <w:numPr>
          <w:ilvl w:val="0"/>
          <w:numId w:val="5"/>
        </w:numPr>
        <w:ind w:left="1287" w:firstLine="567"/>
        <w:rPr>
          <w:rFonts w:cs="Arial"/>
          <w:b/>
          <w:b/>
        </w:rPr>
      </w:pPr>
      <w:bookmarkStart w:id="19" w:name="_Toc494448773"/>
      <w:r>
        <w:rPr/>
        <w:t>Calcule los valores del factor K por fórmula para los perfiles que se adjuntan</w:t>
      </w:r>
      <w:bookmarkEnd w:id="19"/>
      <w:r>
        <w:rPr/>
        <w:t xml:space="preserve"> </w:t>
      </w:r>
      <w:commentRangeStart w:id="10"/>
      <w:r>
        <w:rPr/>
        <w:t xml:space="preserve">---- </w:t>
      </w:r>
      <w:commentRangeEnd w:id="10"/>
      <w:r>
        <w:commentReference w:id="10"/>
      </w:r>
      <w:r>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842"/>
        <w:gridCol w:w="1628"/>
        <w:gridCol w:w="1266"/>
        <w:gridCol w:w="1170"/>
        <w:gridCol w:w="2240"/>
        <w:gridCol w:w="1856"/>
        <w:gridCol w:w="635"/>
      </w:tblGrid>
      <w:tr>
        <w:trPr/>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rPr>
              <w:t>Perfil</w:t>
            </w:r>
          </w:p>
        </w:tc>
        <w:tc>
          <w:tcPr>
            <w:tcW w:w="1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commentRangeStart w:id="11"/>
            <w:r>
              <w:rPr>
                <w:rFonts w:asciiTheme="minorHAnsi" w:hAnsiTheme="minorHAnsi"/>
                <w:b/>
                <w:szCs w:val="22"/>
              </w:rPr>
              <w:t>% de limo+</w:t>
              <w:br/>
              <w:t>arena muy fina</w:t>
            </w:r>
            <w:commentRangeEnd w:id="11"/>
            <w:r>
              <w:commentReference w:id="11"/>
            </w:r>
            <w:r>
              <w:rPr>
                <w:rFonts w:asciiTheme="minorHAnsi" w:hAnsiTheme="minorHAnsi"/>
                <w:b/>
                <w:szCs w:val="22"/>
              </w:rPr>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szCs w:val="22"/>
              </w:rPr>
              <w:t>% de arcilla</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szCs w:val="22"/>
              </w:rPr>
              <w:t>% de M.O.</w:t>
            </w:r>
          </w:p>
        </w:tc>
        <w:tc>
          <w:tcPr>
            <w:tcW w:w="2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szCs w:val="22"/>
              </w:rPr>
              <w:t>Estructura superficial</w:t>
            </w:r>
          </w:p>
          <w:p>
            <w:pPr>
              <w:pStyle w:val="TablaImagenes"/>
              <w:rPr>
                <w:rFonts w:ascii="Calibri" w:hAnsi="Calibri" w:asciiTheme="minorHAnsi" w:hAnsiTheme="minorHAnsi"/>
                <w:b/>
                <w:b/>
              </w:rPr>
            </w:pPr>
            <w:r>
              <w:rPr>
                <w:rFonts w:asciiTheme="minorHAnsi" w:hAnsiTheme="minorHAnsi"/>
                <w:b/>
                <w:szCs w:val="22"/>
              </w:rPr>
              <w:t>(b)</w:t>
            </w:r>
          </w:p>
        </w:tc>
        <w:tc>
          <w:tcPr>
            <w:tcW w:w="1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szCs w:val="22"/>
              </w:rPr>
              <w:t>Permeabilidad</w:t>
            </w:r>
          </w:p>
          <w:p>
            <w:pPr>
              <w:pStyle w:val="TablaImagenes"/>
              <w:rPr>
                <w:rFonts w:ascii="Calibri" w:hAnsi="Calibri" w:asciiTheme="minorHAnsi" w:hAnsiTheme="minorHAnsi"/>
                <w:b/>
                <w:b/>
              </w:rPr>
            </w:pPr>
            <w:r>
              <w:rPr>
                <w:rFonts w:asciiTheme="minorHAnsi" w:hAnsiTheme="minorHAnsi"/>
                <w:b/>
                <w:szCs w:val="22"/>
              </w:rPr>
              <w:t>(</w:t>
            </w:r>
            <w:commentRangeStart w:id="12"/>
            <w:r>
              <w:rPr>
                <w:rFonts w:asciiTheme="minorHAnsi" w:hAnsiTheme="minorHAnsi"/>
                <w:b/>
                <w:szCs w:val="22"/>
              </w:rPr>
              <w:t>c</w:t>
            </w:r>
            <w:r>
              <w:rPr>
                <w:rFonts w:asciiTheme="minorHAnsi" w:hAnsiTheme="minorHAnsi"/>
                <w:b/>
                <w:szCs w:val="22"/>
              </w:rPr>
            </w:r>
            <w:commentRangeEnd w:id="12"/>
            <w:r>
              <w:commentReference w:id="12"/>
            </w:r>
            <w:r>
              <w:rPr>
                <w:rFonts w:asciiTheme="minorHAnsi" w:hAnsiTheme="minorHAnsi"/>
                <w:b/>
                <w:szCs w:val="22"/>
              </w:rPr>
              <w:t>)</w:t>
            </w:r>
          </w:p>
        </w:tc>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b/>
                <w:b/>
              </w:rPr>
            </w:pPr>
            <w:commentRangeStart w:id="13"/>
            <w:r>
              <w:rPr>
                <w:rFonts w:asciiTheme="minorHAnsi" w:hAnsiTheme="minorHAnsi"/>
                <w:b/>
                <w:szCs w:val="22"/>
              </w:rPr>
              <w:t>K</w:t>
            </w:r>
            <w:commentRangeEnd w:id="13"/>
            <w:r>
              <w:commentReference w:id="13"/>
            </w:r>
            <w:r>
              <w:rPr>
                <w:rFonts w:asciiTheme="minorHAnsi" w:hAnsiTheme="minorHAnsi"/>
                <w:b/>
                <w:szCs w:val="22"/>
              </w:rPr>
            </w:r>
          </w:p>
        </w:tc>
      </w:tr>
      <w:tr>
        <w:trPr/>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i/>
                <w:i/>
              </w:rPr>
            </w:pPr>
            <w:r>
              <w:rPr>
                <w:rFonts w:asciiTheme="minorHAnsi" w:hAnsiTheme="minorHAnsi"/>
                <w:i/>
                <w:szCs w:val="22"/>
              </w:rPr>
              <w:t>Perfil 1</w:t>
            </w:r>
          </w:p>
        </w:tc>
        <w:tc>
          <w:tcPr>
            <w:tcW w:w="1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74,8</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szCs w:val="22"/>
              </w:rPr>
              <w:t>20,6</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szCs w:val="22"/>
              </w:rPr>
              <w:t>3,89</w:t>
            </w:r>
          </w:p>
        </w:tc>
        <w:tc>
          <w:tcPr>
            <w:tcW w:w="2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szCs w:val="22"/>
              </w:rPr>
              <w:t>Granular Fina (1)</w:t>
            </w:r>
          </w:p>
        </w:tc>
        <w:tc>
          <w:tcPr>
            <w:tcW w:w="1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szCs w:val="22"/>
              </w:rPr>
              <w:t>moder (3)</w:t>
            </w:r>
          </w:p>
        </w:tc>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cs="Calibri" w:asciiTheme="minorHAnsi" w:hAnsiTheme="minorHAnsi"/>
                <w:color w:val="FF0000"/>
              </w:rPr>
            </w:pPr>
            <w:r>
              <w:rPr>
                <w:rFonts w:cs="Calibri"/>
                <w:color w:val="FF0000"/>
                <w:szCs w:val="22"/>
              </w:rPr>
              <w:t>0,39</w:t>
            </w:r>
          </w:p>
        </w:tc>
      </w:tr>
      <w:tr>
        <w:trPr/>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rPr>
            </w:pPr>
            <w:r>
              <w:rPr>
                <w:rFonts w:asciiTheme="minorHAnsi" w:hAnsiTheme="minorHAnsi"/>
              </w:rPr>
              <w:t>Perfil 2</w:t>
            </w:r>
          </w:p>
        </w:tc>
        <w:tc>
          <w:tcPr>
            <w:tcW w:w="1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70,7</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28,9</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4,27</w:t>
            </w:r>
          </w:p>
        </w:tc>
        <w:tc>
          <w:tcPr>
            <w:tcW w:w="2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Bloques (4)</w:t>
            </w:r>
          </w:p>
        </w:tc>
        <w:tc>
          <w:tcPr>
            <w:tcW w:w="1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lenta a moder (4)</w:t>
            </w:r>
          </w:p>
        </w:tc>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cs="Calibri" w:asciiTheme="minorHAnsi" w:hAnsiTheme="minorHAnsi"/>
                <w:color w:val="FF0000"/>
              </w:rPr>
            </w:pPr>
            <w:r>
              <w:rPr>
                <w:rFonts w:cs="Calibri"/>
                <w:color w:val="FF0000"/>
              </w:rPr>
              <w:t>0,464</w:t>
            </w:r>
          </w:p>
        </w:tc>
      </w:tr>
      <w:tr>
        <w:trPr/>
        <w:tc>
          <w:tcPr>
            <w:tcW w:w="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i/>
                <w:i/>
              </w:rPr>
            </w:pPr>
            <w:r>
              <w:rPr>
                <w:rFonts w:asciiTheme="minorHAnsi" w:hAnsiTheme="minorHAnsi"/>
                <w:i/>
                <w:szCs w:val="22"/>
              </w:rPr>
              <w:t>Perfil 3</w:t>
            </w:r>
          </w:p>
        </w:tc>
        <w:tc>
          <w:tcPr>
            <w:tcW w:w="1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77</w:t>
            </w:r>
          </w:p>
        </w:tc>
        <w:tc>
          <w:tcPr>
            <w:tcW w:w="1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8,5</w:t>
            </w:r>
          </w:p>
        </w:tc>
        <w:tc>
          <w:tcPr>
            <w:tcW w:w="1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1,44</w:t>
            </w:r>
          </w:p>
        </w:tc>
        <w:tc>
          <w:tcPr>
            <w:tcW w:w="2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Granular Media (3)</w:t>
            </w:r>
          </w:p>
        </w:tc>
        <w:tc>
          <w:tcPr>
            <w:tcW w:w="18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mod. rápida (2)</w:t>
            </w:r>
          </w:p>
        </w:tc>
        <w:tc>
          <w:tcPr>
            <w:tcW w:w="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ascii="Calibri" w:hAnsi="Calibri" w:asciiTheme="minorHAnsi" w:hAnsiTheme="minorHAnsi"/>
                <w:color w:val="FF0000"/>
              </w:rPr>
            </w:pPr>
            <w:r>
              <w:rPr>
                <w:rFonts w:asciiTheme="minorHAnsi" w:hAnsiTheme="minorHAnsi"/>
                <w:color w:val="FF0000"/>
              </w:rPr>
              <w:t>0,708</w:t>
            </w:r>
          </w:p>
        </w:tc>
      </w:tr>
    </w:tbl>
    <w:p>
      <w:pPr>
        <w:pStyle w:val="Normal"/>
        <w:rPr>
          <w:rFonts w:cs="Arial"/>
          <w:b/>
          <w:b/>
        </w:rPr>
      </w:pPr>
      <w:r>
        <w:rPr>
          <w:rFonts w:cs="Arial"/>
          <w:b/>
        </w:rPr>
      </w:r>
    </w:p>
    <w:p>
      <w:pPr>
        <w:pStyle w:val="Ttulo3"/>
        <w:numPr>
          <w:ilvl w:val="0"/>
          <w:numId w:val="5"/>
        </w:numPr>
        <w:ind w:left="1287" w:firstLine="567"/>
        <w:rPr/>
      </w:pPr>
      <w:bookmarkStart w:id="20" w:name="_Toc494448774"/>
      <w:r>
        <w:rPr/>
        <w:t>Establezca una gradación de los perfiles respecto de su mayor erodabilidad</w:t>
      </w:r>
      <w:bookmarkEnd w:id="20"/>
    </w:p>
    <w:p>
      <w:pPr>
        <w:pStyle w:val="Normal"/>
        <w:spacing w:before="0" w:after="0"/>
        <w:ind w:hanging="0"/>
        <w:jc w:val="left"/>
        <w:rPr>
          <w:rFonts w:cs="Arial"/>
          <w:bCs/>
          <w:color w:val="FF0000"/>
        </w:rPr>
      </w:pPr>
      <w:r>
        <w:rPr>
          <w:rFonts w:cs="Arial"/>
          <w:bCs/>
          <w:color w:val="FF0000"/>
        </w:rPr>
        <w:t xml:space="preserve">Perfil 3 &gt; Perfil 1 &gt; Perfil 2 </w:t>
      </w:r>
    </w:p>
    <w:p>
      <w:pPr>
        <w:pStyle w:val="Normal"/>
        <w:spacing w:before="0" w:after="0"/>
        <w:ind w:hanging="0"/>
        <w:jc w:val="left"/>
        <w:rPr>
          <w:rFonts w:cs="Arial"/>
          <w:bCs/>
          <w:color w:val="FF0000"/>
        </w:rPr>
      </w:pPr>
      <w:r>
        <w:rPr>
          <w:rFonts w:cs="Arial"/>
          <w:bCs/>
          <w:color w:val="FF0000"/>
        </w:rPr>
        <w:t>El Perfil 3 presenta bajos valores de M.O. y arcilla por lo cual resulta el mas susceptible. El Perfil 2 respecto al 1 presenta mayores valores de arcilla y menor valor de limo y arena muy fina.</w:t>
      </w:r>
    </w:p>
    <w:p>
      <w:pPr>
        <w:pStyle w:val="Normal"/>
        <w:spacing w:before="0" w:after="0"/>
        <w:ind w:hanging="0"/>
        <w:jc w:val="left"/>
        <w:rPr>
          <w:rFonts w:cs="Arial"/>
          <w:bCs/>
          <w:color w:val="FF0000"/>
        </w:rPr>
      </w:pPr>
      <w:r>
        <w:rPr>
          <w:rFonts w:cs="Arial"/>
          <w:bCs/>
          <w:color w:val="FF0000"/>
        </w:rPr>
        <w:t>Las texturas mas susceptibles de erosionarse son Limo y AMF (Arenas muy fina)</w:t>
      </w:r>
    </w:p>
    <w:p>
      <w:pPr>
        <w:pStyle w:val="Ttulo3"/>
        <w:numPr>
          <w:ilvl w:val="0"/>
          <w:numId w:val="5"/>
        </w:numPr>
        <w:ind w:left="1287" w:firstLine="567"/>
        <w:rPr/>
      </w:pPr>
      <w:bookmarkStart w:id="21" w:name="_Toc494448775"/>
      <w:r>
        <w:rPr/>
        <w:t>Compare los perfiles entre sí y determine en función de que variables aumenta y disminuye la erodabilidad de un suelo a la erosión hídrica.</w:t>
      </w:r>
      <w:bookmarkEnd w:id="21"/>
      <w:r>
        <w:rPr/>
        <w:t xml:space="preserve"> </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2007"/>
        <w:gridCol w:w="1204"/>
        <w:gridCol w:w="1606"/>
        <w:gridCol w:w="1605"/>
        <w:gridCol w:w="1609"/>
        <w:gridCol w:w="1606"/>
      </w:tblGrid>
      <w:tr>
        <w:trPr/>
        <w:tc>
          <w:tcPr>
            <w:tcW w:w="2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Si aumenta</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 M.O.</w:t>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%arcilla</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%L + Ar MF</w:t>
            </w:r>
          </w:p>
        </w:tc>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Permeabilidad</w:t>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Estructura Sup. Mas gruesa</w:t>
            </w:r>
          </w:p>
        </w:tc>
      </w:tr>
      <w:tr>
        <w:trPr>
          <w:trHeight w:val="407" w:hRule="atLeast"/>
        </w:trPr>
        <w:tc>
          <w:tcPr>
            <w:tcW w:w="20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la erodabilidad?</w:t>
            </w:r>
          </w:p>
        </w:tc>
        <w:tc>
          <w:tcPr>
            <w:tcW w:w="1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Baja</w:t>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Baja</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Sube</w:t>
            </w:r>
          </w:p>
        </w:tc>
        <w:tc>
          <w:tcPr>
            <w:tcW w:w="16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Baja</w:t>
            </w:r>
          </w:p>
        </w:tc>
        <w:tc>
          <w:tcPr>
            <w:tcW w:w="1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Sube</w:t>
            </w:r>
          </w:p>
        </w:tc>
      </w:tr>
    </w:tbl>
    <w:p>
      <w:pPr>
        <w:pStyle w:val="Ttulo2"/>
        <w:rPr/>
      </w:pPr>
      <w:bookmarkStart w:id="22" w:name="_Toc494448989"/>
      <w:bookmarkStart w:id="23" w:name="_Toc494448776"/>
      <w:r>
        <w:rPr/>
        <w:t>FACTOR TOPOGRÁFICO (LS)</w:t>
      </w:r>
      <w:bookmarkEnd w:id="22"/>
      <w:bookmarkEnd w:id="23"/>
    </w:p>
    <w:p>
      <w:pPr>
        <w:pStyle w:val="Normal"/>
        <w:rPr>
          <w:bCs/>
        </w:rPr>
      </w:pPr>
      <w:r>
        <w:rPr>
          <w:bCs/>
        </w:rPr>
        <w:t xml:space="preserve">El factor topográfico establece el aporte que hace el relieve a la erosión hídrica. Para su cálculo se utiliza la ecuación establecida por Wischmeier y Smith y modificada por FAO, 1977. Esta metodología requiere como datos: </w:t>
      </w:r>
      <w:r>
        <w:rPr>
          <w:bCs/>
          <w:highlight w:val="yellow"/>
        </w:rPr>
        <w:t>la longitud de la pendiente en metros y su pendiente en porcentaje.</w:t>
      </w:r>
      <w:r>
        <w:rPr>
          <w:bCs/>
        </w:rPr>
        <w:t xml:space="preserve"> La ecuación utilizada es la siguiente:</w:t>
      </w:r>
    </w:p>
    <w:p>
      <w:pPr>
        <w:pStyle w:val="Normal"/>
        <w:jc w:val="center"/>
        <w:rPr>
          <w:rFonts w:cs="Arial"/>
          <w:lang w:val="en-US"/>
        </w:rPr>
      </w:pPr>
      <w:r>
        <w:rPr/>
      </w:r>
      <m:oMath xmlns:m="http://schemas.openxmlformats.org/officeDocument/2006/math">
        <m:r>
          <w:rPr>
            <w:rFonts w:ascii="Cambria Math" w:hAnsi="Cambria Math"/>
          </w:rPr>
          <m:t xml:space="preserve">LS</m:t>
        </m:r>
        <m:r>
          <w:rPr>
            <w:rFonts w:ascii="Cambria Math" w:hAnsi="Cambria Math"/>
          </w:rPr>
          <m:t xml:space="preserve">=</m:t>
        </m:r>
        <m:sSup>
          <m:e>
            <m:d>
              <m:dPr>
                <m:begChr m:val="("/>
                <m:endChr m:val=")"/>
              </m:dPr>
              <m:e>
                <m:f>
                  <m:fPr>
                    <m:type m:val="lin"/>
                  </m:fPr>
                  <m:num>
                    <m:r>
                      <w:rPr>
                        <w:rFonts w:ascii="Cambria Math" w:hAnsi="Cambria Math"/>
                      </w:rPr>
                      <m:t xml:space="preserve">L</m:t>
                    </m:r>
                  </m:num>
                  <m:den>
                    <m:r>
                      <w:rPr>
                        <w:rFonts w:ascii="Cambria Math" w:hAnsi="Cambria Math"/>
                      </w:rPr>
                      <m:t xml:space="preserve">22.1</m:t>
                    </m:r>
                  </m:den>
                </m:f>
              </m:e>
            </m:d>
          </m:e>
          <m:sup>
            <m:r>
              <w:rPr>
                <w:rFonts w:ascii="Cambria Math" w:hAnsi="Cambria Math"/>
              </w:rPr>
              <m:t xml:space="preserve">m</m:t>
            </m:r>
          </m:sup>
        </m:sSup>
        <m:r>
          <w:rPr>
            <w:rFonts w:ascii="Cambria Math" w:hAnsi="Cambria Math"/>
          </w:rPr>
          <m:t xml:space="preserve">x</m:t>
        </m:r>
        <m:d>
          <m:dPr>
            <m:begChr m:val="("/>
            <m:endChr m:val=")"/>
          </m:dPr>
          <m:e>
            <m:r>
              <w:rPr>
                <w:rFonts w:ascii="Cambria Math" w:hAnsi="Cambria Math"/>
              </w:rPr>
              <m:t xml:space="preserve">0,0650</m:t>
            </m:r>
            <m:r>
              <w:rPr>
                <w:rFonts w:ascii="Cambria Math" w:hAnsi="Cambria Math"/>
              </w:rPr>
              <m:t xml:space="preserve">+</m:t>
            </m:r>
            <m:r>
              <w:rPr>
                <w:rFonts w:ascii="Cambria Math" w:hAnsi="Cambria Math"/>
              </w:rPr>
              <m:t xml:space="preserve">0,04536</m:t>
            </m:r>
            <m:r>
              <w:rPr>
                <w:rFonts w:ascii="Cambria Math" w:hAnsi="Cambria Math"/>
              </w:rPr>
              <m:t xml:space="preserve">x</m:t>
            </m:r>
            <m:r>
              <w:rPr>
                <w:rFonts w:ascii="Cambria Math" w:hAnsi="Cambria Math"/>
              </w:rPr>
              <m:t xml:space="preserve">P</m:t>
            </m:r>
            <m:r>
              <w:rPr>
                <w:rFonts w:ascii="Cambria Math" w:hAnsi="Cambria Math"/>
              </w:rPr>
              <m:t xml:space="preserve">+</m:t>
            </m:r>
            <m:r>
              <w:rPr>
                <w:rFonts w:ascii="Cambria Math" w:hAnsi="Cambria Math"/>
              </w:rPr>
              <m:t xml:space="preserve">0,0065</m:t>
            </m:r>
            <m:r>
              <w:rPr>
                <w:rFonts w:ascii="Cambria Math" w:hAnsi="Cambria Math"/>
              </w:rPr>
              <m:t xml:space="preserve">x</m:t>
            </m:r>
            <m:sSup>
              <m:e>
                <m:r>
                  <w:rPr>
                    <w:rFonts w:ascii="Cambria Math" w:hAnsi="Cambria Math"/>
                  </w:rPr>
                  <m:t xml:space="preserve">P</m:t>
                </m:r>
              </m:e>
              <m:sup>
                <m:r>
                  <w:rPr>
                    <w:rFonts w:ascii="Cambria Math" w:hAnsi="Cambria Math"/>
                  </w:rPr>
                  <m:t xml:space="preserve">2</m:t>
                </m:r>
              </m:sup>
            </m:sSup>
          </m:e>
        </m:d>
      </m:oMath>
    </w:p>
    <w:p>
      <w:pPr>
        <w:pStyle w:val="Normal"/>
        <w:spacing w:before="0" w:after="0"/>
        <w:rPr>
          <w:lang w:val="es-MX"/>
        </w:rPr>
      </w:pPr>
      <w:r>
        <w:rPr>
          <w:lang w:val="es-MX"/>
        </w:rPr>
        <w:t>Donde:</w:t>
      </w:r>
    </w:p>
    <w:p>
      <w:pPr>
        <w:pStyle w:val="Vietascrculos"/>
        <w:numPr>
          <w:ilvl w:val="0"/>
          <w:numId w:val="2"/>
        </w:numPr>
        <w:rPr>
          <w:lang w:val="es-MX"/>
        </w:rPr>
      </w:pPr>
      <w:r>
        <w:rPr>
          <w:lang w:val="es-MX"/>
        </w:rPr>
        <w:t>L: Longitud de la pendiente en m</w:t>
      </w:r>
    </w:p>
    <w:p>
      <w:pPr>
        <w:pStyle w:val="Vietascrculos"/>
        <w:numPr>
          <w:ilvl w:val="0"/>
          <w:numId w:val="2"/>
        </w:numPr>
        <w:rPr>
          <w:lang w:val="es-MX"/>
        </w:rPr>
      </w:pPr>
      <w:r>
        <w:rPr>
          <w:lang w:val="es-MX"/>
        </w:rPr>
        <w:t>P: Pendiente en %</w:t>
      </w:r>
    </w:p>
    <w:p>
      <w:pPr>
        <w:pStyle w:val="Vietascrculos"/>
        <w:numPr>
          <w:ilvl w:val="0"/>
          <w:numId w:val="2"/>
        </w:numPr>
        <w:spacing w:before="0" w:after="0"/>
        <w:contextualSpacing/>
        <w:rPr>
          <w:lang w:val="es-MX"/>
        </w:rPr>
      </w:pPr>
      <w:r>
        <w:rPr>
          <w:lang w:val="es-MX"/>
        </w:rPr>
        <w:t>m: exponente que varia con la pendiente, de la siguiente manera:</w:t>
      </w:r>
    </w:p>
    <w:p>
      <w:pPr>
        <w:pStyle w:val="Vietaslineas"/>
        <w:numPr>
          <w:ilvl w:val="0"/>
          <w:numId w:val="4"/>
        </w:numPr>
        <w:spacing w:before="0" w:after="0"/>
        <w:ind w:left="0" w:firstLine="567"/>
        <w:contextualSpacing/>
        <w:rPr>
          <w:lang w:val="es-MX"/>
        </w:rPr>
      </w:pPr>
      <w:r>
        <w:rPr>
          <w:lang w:val="es-MX"/>
        </w:rPr>
        <w:t>Para pendientes hasta 0,5% m=0,2</w:t>
      </w:r>
    </w:p>
    <w:p>
      <w:pPr>
        <w:pStyle w:val="Vietaslineas"/>
        <w:numPr>
          <w:ilvl w:val="0"/>
          <w:numId w:val="4"/>
        </w:numPr>
        <w:spacing w:before="0" w:after="0"/>
        <w:ind w:left="0" w:firstLine="567"/>
        <w:contextualSpacing/>
        <w:rPr>
          <w:lang w:val="es-MX"/>
        </w:rPr>
      </w:pPr>
      <w:r>
        <w:rPr>
          <w:lang w:val="es-MX"/>
        </w:rPr>
        <w:t>Para pendientes entre 1 y 3 % m= 0,3</w:t>
      </w:r>
    </w:p>
    <w:p>
      <w:pPr>
        <w:pStyle w:val="Vietaslineas"/>
        <w:numPr>
          <w:ilvl w:val="0"/>
          <w:numId w:val="4"/>
        </w:numPr>
        <w:spacing w:before="0" w:after="0"/>
        <w:ind w:left="0" w:firstLine="567"/>
        <w:contextualSpacing/>
        <w:rPr>
          <w:lang w:val="es-MX"/>
        </w:rPr>
      </w:pPr>
      <w:r>
        <w:rPr>
          <w:lang w:val="es-MX"/>
        </w:rPr>
        <w:t>Para pendientes entre 4 y 5 % m= 0,4</w:t>
      </w:r>
    </w:p>
    <w:p>
      <w:pPr>
        <w:pStyle w:val="Vietaslineas"/>
        <w:numPr>
          <w:ilvl w:val="0"/>
          <w:numId w:val="4"/>
        </w:numPr>
        <w:spacing w:before="0" w:after="0"/>
        <w:ind w:left="0" w:firstLine="567"/>
        <w:contextualSpacing/>
        <w:rPr>
          <w:lang w:val="es-MX"/>
        </w:rPr>
      </w:pPr>
      <w:r>
        <w:rPr>
          <w:lang w:val="es-MX"/>
        </w:rPr>
        <w:t>Para pendientes mayores de 5% m= 0,5</w:t>
      </w:r>
      <w:bookmarkStart w:id="24" w:name="OLE_LINK1"/>
      <w:bookmarkEnd w:id="24"/>
    </w:p>
    <w:p>
      <w:pPr>
        <w:pStyle w:val="Normal"/>
        <w:rPr/>
      </w:pPr>
      <w:r>
        <w:rPr/>
      </w:r>
    </w:p>
    <w:p>
      <w:pPr>
        <w:pStyle w:val="Normal"/>
        <w:rPr>
          <w:b/>
          <w:b/>
        </w:rPr>
      </w:pPr>
      <w:r>
        <w:rPr>
          <w:highlight w:val="yellow"/>
        </w:rPr>
        <w:t>Otra forma de calcular el factor LS es</w:t>
      </w:r>
      <w:r>
        <w:rPr/>
        <w:t xml:space="preserve"> utilizando la siguiente tabla, que vuelca los cálculos de la fórmula.</w:t>
      </w:r>
    </w:p>
    <w:p>
      <w:pPr>
        <w:pStyle w:val="Normal"/>
        <w:rPr/>
      </w:pPr>
      <w:r>
        <w:rPr/>
        <w:t>Tabla 2: Valores del Factor Topográfico (LS) para distintos grados y longitudes de pendiente ( Wischmeier y Smith)</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704"/>
        <w:gridCol w:w="891"/>
        <w:gridCol w:w="892"/>
        <w:gridCol w:w="891"/>
        <w:gridCol w:w="894"/>
        <w:gridCol w:w="893"/>
        <w:gridCol w:w="894"/>
        <w:gridCol w:w="893"/>
        <w:gridCol w:w="894"/>
        <w:gridCol w:w="893"/>
        <w:gridCol w:w="897"/>
      </w:tblGrid>
      <w:tr>
        <w:trPr>
          <w:cantSplit w:val="true"/>
        </w:trPr>
        <w:tc>
          <w:tcPr>
            <w:tcW w:w="9636"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ES" w:eastAsia="es-ES"/>
              </w:rPr>
            </w:pPr>
            <w:r>
              <w:rPr>
                <w:b/>
                <w:lang w:val="es-ES" w:eastAsia="es-ES"/>
              </w:rPr>
              <w:t>Longitud total de la Pendiente, en metros</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15</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25</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50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75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100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150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200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250</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300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ES" w:eastAsia="es-ES"/>
              </w:rPr>
            </w:pPr>
            <w:r>
              <w:rPr>
                <w:i/>
                <w:lang w:val="es-ES" w:eastAsia="es-ES"/>
              </w:rPr>
              <w:t>350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0.5</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0.08</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0.09</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0.11</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0.12</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0.13</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0.14</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0.14</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0.15</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1</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0.10</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0.12</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0.15</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0.17</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0.18</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0.21</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highlight w:val="yellow"/>
                <w:lang w:val="es-ES" w:eastAsia="es-ES"/>
              </w:rPr>
            </w:pPr>
            <w:r>
              <w:rPr>
                <w:highlight w:val="yellow"/>
                <w:lang w:val="es-ES" w:eastAsia="es-ES"/>
              </w:rPr>
              <w:t>0.23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highlight w:val="yellow"/>
                <w:lang w:val="es-ES" w:eastAsia="es-ES"/>
              </w:rPr>
            </w:pPr>
            <w:r>
              <w:rPr>
                <w:highlight w:val="yellow"/>
                <w:lang w:val="es-ES" w:eastAsia="es-ES"/>
              </w:rPr>
              <w:t>0.24</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0.25</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0.25</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2</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0.16</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0.19</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0.26</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0.29</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0.32</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highlight w:val="yellow"/>
                <w:lang w:val="es-ES" w:eastAsia="es-ES"/>
              </w:rPr>
            </w:pPr>
            <w:r>
              <w:rPr>
                <w:highlight w:val="yellow"/>
                <w:lang w:val="es-ES" w:eastAsia="es-ES"/>
              </w:rPr>
              <w:t>0.35</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highlight w:val="yellow"/>
                <w:lang w:val="es-ES" w:eastAsia="es-ES"/>
              </w:rPr>
            </w:pPr>
            <w:r>
              <w:rPr>
                <w:highlight w:val="yellow"/>
                <w:lang w:val="es-ES" w:eastAsia="es-ES"/>
              </w:rPr>
              <w:t>0.37</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3</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0.23</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0.27</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0.37</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0.41</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0.50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0.54</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0.57</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0.60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4</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0.30</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0.37</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0.48</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0.57</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0.64</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0.75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0.84</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0.92</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0.99</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1.00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5</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0.37</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0.48</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0.68</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0.84</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0.96</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1.18</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1.36</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1.52</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1.67</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1.80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6</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0.47</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0.60</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0.86</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1.05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1.21</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1.48</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1.71</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1.91</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2.10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2.2</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8</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0.69</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0.89</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1.26</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1.55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1.79</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2.19</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2.53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2.83</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3.10</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3.30</w:t>
            </w:r>
          </w:p>
        </w:tc>
      </w:tr>
      <w:tr>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val="es-ES" w:eastAsia="es-ES"/>
              </w:rPr>
            </w:pPr>
            <w:r>
              <w:rPr>
                <w:b/>
                <w:i/>
                <w:lang w:val="es-ES" w:eastAsia="es-ES"/>
              </w:rPr>
              <w:t>10</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0.96</w:t>
            </w:r>
          </w:p>
        </w:tc>
        <w:tc>
          <w:tcPr>
            <w:tcW w:w="8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1.24</w:t>
            </w:r>
          </w:p>
        </w:tc>
        <w:tc>
          <w:tcPr>
            <w:tcW w:w="8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1.75</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2.15</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2.48</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3.04</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3.50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3.92</w:t>
            </w:r>
          </w:p>
        </w:tc>
        <w:tc>
          <w:tcPr>
            <w:tcW w:w="8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4.29</w:t>
            </w:r>
          </w:p>
        </w:tc>
        <w:tc>
          <w:tcPr>
            <w:tcW w:w="8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ES" w:eastAsia="es-ES"/>
              </w:rPr>
            </w:pPr>
            <w:r>
              <w:rPr>
                <w:lang w:val="es-ES" w:eastAsia="es-ES"/>
              </w:rPr>
              <w:t>4.60</w:t>
            </w:r>
          </w:p>
        </w:tc>
      </w:tr>
    </w:tbl>
    <w:p>
      <w:pPr>
        <w:pStyle w:val="Normal"/>
        <w:rPr/>
      </w:pPr>
      <w:r>
        <w:rPr/>
      </w:r>
    </w:p>
    <w:p>
      <w:pPr>
        <w:pStyle w:val="Ttulo3"/>
        <w:numPr>
          <w:ilvl w:val="0"/>
          <w:numId w:val="5"/>
        </w:numPr>
        <w:spacing w:before="0" w:after="0"/>
        <w:ind w:left="1287" w:firstLine="567"/>
        <w:rPr>
          <w:highlight w:val="yellow"/>
        </w:rPr>
      </w:pPr>
      <w:r>
        <w:rPr/>
        <w:t xml:space="preserve">Calcule por formula el factor LS para un lote de </w:t>
      </w:r>
      <w:r>
        <w:rPr>
          <w:highlight w:val="yellow"/>
        </w:rPr>
        <w:t xml:space="preserve">230 metros de longitud y 1.5 % de </w:t>
      </w:r>
      <w:commentRangeStart w:id="14"/>
      <w:r>
        <w:rPr>
          <w:highlight w:val="yellow"/>
        </w:rPr>
        <w:t>pendiente</w:t>
      </w:r>
      <w:r>
        <w:rPr>
          <w:highlight w:val="yellow"/>
        </w:rPr>
      </w:r>
      <w:commentRangeEnd w:id="14"/>
      <w:r>
        <w:commentReference w:id="14"/>
      </w:r>
      <w:r>
        <w:rPr>
          <w:highlight w:val="yellow"/>
        </w:rPr>
        <w:t>.</w:t>
      </w:r>
    </w:p>
    <w:p>
      <w:pPr>
        <w:pStyle w:val="Normal"/>
        <w:rPr>
          <w:color w:val="FF0000"/>
        </w:rPr>
      </w:pPr>
      <w:r>
        <w:rPr/>
      </w:r>
      <m:oMath xmlns:m="http://schemas.openxmlformats.org/officeDocument/2006/math">
        <m:r>
          <w:rPr>
            <w:rFonts w:ascii="Cambria Math" w:hAnsi="Cambria Math"/>
          </w:rPr>
          <m:t xml:space="preserve">LS</m:t>
        </m:r>
        <m:d>
          <m:dPr>
            <m:begChr m:val="("/>
            <m:endChr m:val=")"/>
          </m:dPr>
          <m:e>
            <m:r>
              <w:rPr>
                <w:rFonts w:ascii="Cambria Math" w:hAnsi="Cambria Math"/>
              </w:rPr>
              <m:t xml:space="preserve">230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r>
          <w:rPr>
            <w:rFonts w:ascii="Cambria Math" w:hAnsi="Cambria Math"/>
          </w:rPr>
          <m:t xml:space="preserve">=</m:t>
        </m:r>
        <m:f>
          <m:num>
            <m:d>
              <m:dPr>
                <m:begChr m:val="("/>
                <m:endChr m:val=")"/>
              </m:dPr>
              <m:e>
                <m:r>
                  <w:rPr>
                    <w:rFonts w:ascii="Cambria Math" w:hAnsi="Cambria Math"/>
                  </w:rPr>
                  <m:t xml:space="preserve">LS</m:t>
                </m:r>
                <m:d>
                  <m:dPr>
                    <m:begChr m:val="("/>
                    <m:endChr m:val=")"/>
                  </m:dPr>
                  <m:e>
                    <m:r>
                      <w:rPr>
                        <w:rFonts w:ascii="Cambria Math" w:hAnsi="Cambria Math"/>
                      </w:rPr>
                      <m:t xml:space="preserve">250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r>
                  <w:rPr>
                    <w:rFonts w:ascii="Cambria Math" w:hAnsi="Cambria Math"/>
                  </w:rPr>
                  <m:t xml:space="preserve">−</m:t>
                </m:r>
                <m:r>
                  <w:rPr>
                    <w:rFonts w:ascii="Cambria Math" w:hAnsi="Cambria Math"/>
                  </w:rPr>
                  <m:t xml:space="preserve">LS</m:t>
                </m:r>
                <m:d>
                  <m:dPr>
                    <m:begChr m:val="("/>
                    <m:endChr m:val=")"/>
                  </m:dPr>
                  <m:e>
                    <m:r>
                      <w:rPr>
                        <w:rFonts w:ascii="Cambria Math" w:hAnsi="Cambria Math"/>
                      </w:rPr>
                      <m:t xml:space="preserve">200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e>
            </m:d>
            <m:r>
              <w:rPr>
                <w:rFonts w:ascii="Cambria Math" w:hAnsi="Cambria Math"/>
              </w:rPr>
              <m:t xml:space="preserve">∗</m:t>
            </m:r>
            <m:r>
              <w:rPr>
                <w:rFonts w:ascii="Cambria Math" w:hAnsi="Cambria Math"/>
              </w:rPr>
              <m:t xml:space="preserve">30</m:t>
            </m:r>
            <m:r>
              <w:rPr>
                <w:rFonts w:ascii="Cambria Math" w:hAnsi="Cambria Math"/>
              </w:rPr>
              <m:t xml:space="preserve">m</m:t>
            </m:r>
          </m:num>
          <m:den>
            <m:r>
              <w:rPr>
                <w:rFonts w:ascii="Cambria Math" w:hAnsi="Cambria Math"/>
              </w:rPr>
              <m:t xml:space="preserve">50</m:t>
            </m:r>
            <m:r>
              <w:rPr>
                <w:rFonts w:ascii="Cambria Math" w:hAnsi="Cambria Math"/>
              </w:rPr>
              <m:t xml:space="preserve">m</m:t>
            </m:r>
          </m:den>
        </m:f>
        <m:r>
          <w:rPr>
            <w:rFonts w:ascii="Cambria Math" w:hAnsi="Cambria Math"/>
          </w:rPr>
          <m:t xml:space="preserve">+</m:t>
        </m:r>
        <m:r>
          <w:rPr>
            <w:rFonts w:ascii="Cambria Math" w:hAnsi="Cambria Math"/>
          </w:rPr>
          <m:t xml:space="preserve">LS</m:t>
        </m:r>
        <m:d>
          <m:dPr>
            <m:begChr m:val="("/>
            <m:endChr m:val=")"/>
          </m:dPr>
          <m:e>
            <m:r>
              <w:rPr>
                <w:rFonts w:ascii="Cambria Math" w:hAnsi="Cambria Math"/>
              </w:rPr>
              <m:t xml:space="preserve">200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oMath>
    </w:p>
    <w:p>
      <w:pPr>
        <w:pStyle w:val="Normal"/>
        <w:rPr>
          <w:color w:val="FF0000"/>
        </w:rPr>
      </w:pPr>
      <w:r>
        <w:rPr/>
      </w:r>
      <m:oMath xmlns:m="http://schemas.openxmlformats.org/officeDocument/2006/math">
        <m:r>
          <w:rPr>
            <w:rFonts w:ascii="Cambria Math" w:hAnsi="Cambria Math"/>
          </w:rPr>
          <m:t xml:space="preserve">LS</m:t>
        </m:r>
        <m:d>
          <m:dPr>
            <m:begChr m:val="("/>
            <m:endChr m:val=")"/>
          </m:dPr>
          <m:e>
            <m:r>
              <w:rPr>
                <w:rFonts w:ascii="Cambria Math" w:hAnsi="Cambria Math"/>
              </w:rPr>
              <m:t xml:space="preserve">230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r>
          <w:rPr>
            <w:rFonts w:ascii="Cambria Math" w:hAnsi="Cambria Math"/>
          </w:rPr>
          <m:t xml:space="preserve">=</m:t>
        </m:r>
        <m:f>
          <m:num>
            <m:d>
              <m:dPr>
                <m:begChr m:val="("/>
                <m:endChr m:val=")"/>
              </m:dPr>
              <m:e>
                <m:f>
                  <m:num>
                    <m:d>
                      <m:dPr>
                        <m:begChr m:val="("/>
                        <m:endChr m:val=")"/>
                      </m:dPr>
                      <m:e>
                        <m:r>
                          <w:rPr>
                            <w:rFonts w:ascii="Cambria Math" w:hAnsi="Cambria Math"/>
                          </w:rPr>
                          <m:t xml:space="preserve">0,37</m:t>
                        </m:r>
                        <m:r>
                          <w:rPr>
                            <w:rFonts w:ascii="Cambria Math" w:hAnsi="Cambria Math"/>
                          </w:rPr>
                          <m:t xml:space="preserve">+</m:t>
                        </m:r>
                        <m:r>
                          <w:rPr>
                            <w:rFonts w:ascii="Cambria Math" w:hAnsi="Cambria Math"/>
                          </w:rPr>
                          <m:t xml:space="preserve">0,24</m:t>
                        </m:r>
                      </m:e>
                    </m:d>
                  </m:num>
                  <m:den>
                    <m:r>
                      <w:rPr>
                        <w:rFonts w:ascii="Cambria Math" w:hAnsi="Cambria Math"/>
                      </w:rPr>
                      <m:t xml:space="preserve">2</m:t>
                    </m:r>
                  </m:den>
                </m:f>
                <m:r>
                  <w:rPr>
                    <w:rFonts w:ascii="Cambria Math" w:hAnsi="Cambria Math"/>
                  </w:rPr>
                  <m:t xml:space="preserve">−</m:t>
                </m:r>
                <m:f>
                  <m:num>
                    <m:d>
                      <m:dPr>
                        <m:begChr m:val="("/>
                        <m:endChr m:val=")"/>
                      </m:dPr>
                      <m:e>
                        <m:r>
                          <w:rPr>
                            <w:rFonts w:ascii="Cambria Math" w:hAnsi="Cambria Math"/>
                          </w:rPr>
                          <m:t xml:space="preserve">0,35</m:t>
                        </m:r>
                        <m:r>
                          <w:rPr>
                            <w:rFonts w:ascii="Cambria Math" w:hAnsi="Cambria Math"/>
                          </w:rPr>
                          <m:t xml:space="preserve">+</m:t>
                        </m:r>
                        <m:r>
                          <w:rPr>
                            <w:rFonts w:ascii="Cambria Math" w:hAnsi="Cambria Math"/>
                          </w:rPr>
                          <m:t xml:space="preserve">0,23</m:t>
                        </m:r>
                      </m:e>
                    </m:d>
                  </m:num>
                  <m:den>
                    <m:r>
                      <w:rPr>
                        <w:rFonts w:ascii="Cambria Math" w:hAnsi="Cambria Math"/>
                      </w:rPr>
                      <m:t xml:space="preserve">2</m:t>
                    </m:r>
                  </m:den>
                </m:f>
              </m:e>
            </m:d>
            <m:r>
              <w:rPr>
                <w:rFonts w:ascii="Cambria Math" w:hAnsi="Cambria Math"/>
              </w:rPr>
              <m:t xml:space="preserve">∗</m:t>
            </m:r>
            <m:r>
              <w:rPr>
                <w:rFonts w:ascii="Cambria Math" w:hAnsi="Cambria Math"/>
              </w:rPr>
              <m:t xml:space="preserve">30</m:t>
            </m:r>
            <m:r>
              <w:rPr>
                <w:rFonts w:ascii="Cambria Math" w:hAnsi="Cambria Math"/>
              </w:rPr>
              <m:t xml:space="preserve">m</m:t>
            </m:r>
          </m:num>
          <m:den>
            <m:r>
              <w:rPr>
                <w:rFonts w:ascii="Cambria Math" w:hAnsi="Cambria Math"/>
              </w:rPr>
              <m:t xml:space="preserve">50</m:t>
            </m:r>
            <m:r>
              <w:rPr>
                <w:rFonts w:ascii="Cambria Math" w:hAnsi="Cambria Math"/>
              </w:rPr>
              <m:t xml:space="preserve">m</m:t>
            </m:r>
          </m:den>
        </m:f>
        <m:r>
          <w:rPr>
            <w:rFonts w:ascii="Cambria Math" w:hAnsi="Cambria Math"/>
          </w:rPr>
          <m:t xml:space="preserve">+</m:t>
        </m:r>
        <m:f>
          <m:num>
            <m:d>
              <m:dPr>
                <m:begChr m:val="("/>
                <m:endChr m:val=")"/>
              </m:dPr>
              <m:e>
                <m:r>
                  <w:rPr>
                    <w:rFonts w:ascii="Cambria Math" w:hAnsi="Cambria Math"/>
                  </w:rPr>
                  <m:t xml:space="preserve">0,35</m:t>
                </m:r>
                <m:r>
                  <w:rPr>
                    <w:rFonts w:ascii="Cambria Math" w:hAnsi="Cambria Math"/>
                  </w:rPr>
                  <m:t xml:space="preserve">+</m:t>
                </m:r>
                <m:r>
                  <w:rPr>
                    <w:rFonts w:ascii="Cambria Math" w:hAnsi="Cambria Math"/>
                  </w:rPr>
                  <m:t xml:space="preserve">0,23</m:t>
                </m:r>
              </m:e>
            </m:d>
          </m:num>
          <m:den>
            <m:r>
              <w:rPr>
                <w:rFonts w:ascii="Cambria Math" w:hAnsi="Cambria Math"/>
              </w:rPr>
              <m:t xml:space="preserve">2</m:t>
            </m:r>
          </m:den>
        </m:f>
      </m:oMath>
    </w:p>
    <w:p>
      <w:pPr>
        <w:pStyle w:val="Normal"/>
        <w:rPr>
          <w:rFonts w:ascii="Cambria Math" w:hAnsi="Cambria Math"/>
          <w:color w:val="FF0000"/>
          <w:sz w:val="20"/>
        </w:rPr>
      </w:pPr>
      <w:r>
        <w:rPr/>
      </w:r>
      <m:oMath xmlns:m="http://schemas.openxmlformats.org/officeDocument/2006/math">
        <m:r>
          <w:rPr>
            <w:rFonts w:ascii="Cambria Math" w:hAnsi="Cambria Math"/>
          </w:rPr>
          <m:t xml:space="preserve">LS</m:t>
        </m:r>
        <m:d>
          <m:dPr>
            <m:begChr m:val="("/>
            <m:endChr m:val=")"/>
          </m:dPr>
          <m:e>
            <m:r>
              <w:rPr>
                <w:rFonts w:ascii="Cambria Math" w:hAnsi="Cambria Math"/>
              </w:rPr>
              <m:t xml:space="preserve">230</m:t>
            </m:r>
            <m:r>
              <w:rPr>
                <w:rFonts w:ascii="Cambria Math" w:hAnsi="Cambria Math"/>
              </w:rPr>
              <m:t xml:space="preserve">m</m:t>
            </m:r>
            <m:r>
              <w:rPr>
                <w:rFonts w:ascii="Cambria Math" w:hAnsi="Cambria Math"/>
              </w:rPr>
              <m:t xml:space="preserve">;</m:t>
            </m:r>
            <m:r>
              <w:rPr>
                <w:rFonts w:ascii="Cambria Math" w:hAnsi="Cambria Math"/>
              </w:rPr>
              <m:t xml:space="preserve">1,5</m:t>
            </m:r>
            <m:r>
              <m:rPr>
                <m:lit/>
                <m:nor/>
              </m:rPr>
              <w:rPr>
                <w:rFonts w:ascii="Cambria Math" w:hAnsi="Cambria Math"/>
              </w:rPr>
              <m:t xml:space="preserve">%</m:t>
            </m:r>
          </m:e>
        </m:d>
        <m:r>
          <w:rPr>
            <w:rFonts w:ascii="Cambria Math" w:hAnsi="Cambria Math"/>
          </w:rPr>
          <m:t xml:space="preserve">=</m:t>
        </m:r>
        <m:r>
          <w:rPr>
            <w:rFonts w:ascii="Cambria Math" w:hAnsi="Cambria Math"/>
          </w:rPr>
          <m:t xml:space="preserve">0,299</m:t>
        </m:r>
      </m:oMath>
    </w:p>
    <w:p>
      <w:pPr>
        <w:pStyle w:val="Ttulo3"/>
        <w:numPr>
          <w:ilvl w:val="0"/>
          <w:numId w:val="5"/>
        </w:numPr>
        <w:ind w:left="1287" w:firstLine="567"/>
        <w:rPr>
          <w:b/>
          <w:b/>
        </w:rPr>
      </w:pPr>
      <w:r>
        <w:rPr/>
        <w:t xml:space="preserve">Se consideran </w:t>
      </w:r>
      <w:r>
        <w:rPr>
          <w:highlight w:val="yellow"/>
        </w:rPr>
        <w:t>tres situaciones</w:t>
      </w:r>
      <w:r>
        <w:rPr/>
        <w:t xml:space="preserve"> de cambios de longitud y grado de la </w:t>
      </w:r>
      <w:commentRangeStart w:id="15"/>
      <w:r>
        <w:rPr/>
        <w:t>pendiente</w:t>
      </w:r>
      <w:r>
        <w:rPr/>
      </w:r>
      <w:bookmarkStart w:id="25" w:name="_Toc494448778"/>
      <w:bookmarkEnd w:id="25"/>
      <w:commentRangeEnd w:id="15"/>
      <w:r>
        <w:commentReference w:id="15"/>
      </w:r>
      <w:r>
        <w:rPr/>
        <w:t>.</w:t>
      </w:r>
    </w:p>
    <w:p>
      <w:pPr>
        <w:pStyle w:val="Normal"/>
        <w:rPr/>
      </w:pPr>
      <w:r>
        <w:rPr/>
        <w:t>En la primera aumentan progresivamente el grado y la longitud de la pendiente; en la segunda se mantiene constante el grado de la pendiente y aumenta progresivamente la longitud de la pendiente, y en el tercer caso se mantiene constante la longitud de la pendiente y aumenta el grado de la pendiente. Mediante la utilización de la Tabla 2 complete los datos faltantes.</w:t>
      </w:r>
      <w:r>
        <w:rPr>
          <w:b/>
        </w:rPr>
        <w:t xml:space="preserve"> </w:t>
      </w:r>
    </w:p>
    <w:p>
      <w:pPr>
        <w:pStyle w:val="Normal"/>
        <w:rPr>
          <w:b/>
          <w:b/>
        </w:rPr>
      </w:pPr>
      <w:r>
        <w:rPr/>
      </w:r>
    </w:p>
    <w:p>
      <w:pPr>
        <w:pStyle w:val="Normal"/>
        <w:rPr>
          <w:b/>
          <w:b/>
        </w:rPr>
      </w:pPr>
      <w:r>
        <w:rPr/>
      </w:r>
    </w:p>
    <w:p>
      <w:pPr>
        <w:pStyle w:val="Normal"/>
        <w:rPr>
          <w:b/>
          <w:b/>
        </w:rPr>
      </w:pPr>
      <w:r>
        <w:rPr/>
      </w:r>
    </w:p>
    <w:p>
      <w:pPr>
        <w:pStyle w:val="Normal"/>
        <w:rPr>
          <w:b/>
          <w:b/>
        </w:rPr>
      </w:pPr>
      <w:r>
        <w:rPr/>
      </w:r>
    </w:p>
    <w:p>
      <w:pPr>
        <w:pStyle w:val="Normal"/>
        <w:rPr>
          <w:b/>
          <w:b/>
        </w:rPr>
      </w:pPr>
      <w:r>
        <w:rPr/>
      </w:r>
    </w:p>
    <w:tbl>
      <w:tblPr>
        <w:tblW w:w="495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14"/>
        <w:gridCol w:w="3596"/>
        <w:gridCol w:w="2178"/>
        <w:gridCol w:w="1402"/>
        <w:gridCol w:w="1951"/>
      </w:tblGrid>
      <w:tr>
        <w:trPr/>
        <w:tc>
          <w:tcPr>
            <w:tcW w:w="4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1</w:t>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Grado de la pendiente</w:t>
            </w:r>
          </w:p>
        </w:tc>
        <w:tc>
          <w:tcPr>
            <w:tcW w:w="2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Long, de la pendiente</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commentRangeStart w:id="16"/>
            <w:r>
              <w:rPr>
                <w:b/>
              </w:rPr>
              <w:t>LS</w:t>
            </w:r>
            <w:commentRangeEnd w:id="16"/>
            <w:r>
              <w:commentReference w:id="16"/>
            </w:r>
            <w:r>
              <w:rPr>
                <w:b/>
              </w:rPr>
            </w:r>
          </w:p>
        </w:tc>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commentRangeStart w:id="17"/>
            <w:r>
              <w:rPr>
                <w:b/>
              </w:rPr>
              <w:t>A (t/ha año</w:t>
            </w:r>
            <w:r>
              <w:rPr>
                <w:b/>
                <w:vertAlign w:val="superscript"/>
              </w:rPr>
              <w:t>-1</w:t>
            </w:r>
            <w:r>
              <w:rPr>
                <w:b/>
              </w:rPr>
              <w:t>)</w:t>
            </w:r>
            <w:commentRangeEnd w:id="17"/>
            <w:r>
              <w:commentReference w:id="17"/>
            </w:r>
            <w:r>
              <w:rPr>
                <w:b/>
              </w:rPr>
            </w:r>
          </w:p>
        </w:tc>
      </w:tr>
      <w:tr>
        <w:trPr/>
        <w:tc>
          <w:tcPr>
            <w:tcW w:w="4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w:t>
            </w:r>
          </w:p>
        </w:tc>
        <w:tc>
          <w:tcPr>
            <w:tcW w:w="2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100</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0,180</w:t>
            </w:r>
          </w:p>
        </w:tc>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33.96</w:t>
            </w:r>
          </w:p>
        </w:tc>
      </w:tr>
      <w:tr>
        <w:trPr/>
        <w:tc>
          <w:tcPr>
            <w:tcW w:w="4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200</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1,360</w:t>
            </w:r>
          </w:p>
        </w:tc>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256.63</w:t>
            </w:r>
          </w:p>
        </w:tc>
      </w:tr>
      <w:tr>
        <w:trPr/>
        <w:tc>
          <w:tcPr>
            <w:tcW w:w="4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5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10%</w:t>
            </w:r>
          </w:p>
        </w:tc>
        <w:tc>
          <w:tcPr>
            <w:tcW w:w="2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300</w:t>
            </w:r>
          </w:p>
        </w:tc>
        <w:tc>
          <w:tcPr>
            <w:tcW w:w="1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4,290</w:t>
            </w:r>
          </w:p>
        </w:tc>
        <w:tc>
          <w:tcPr>
            <w:tcW w:w="19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809.52</w:t>
            </w:r>
          </w:p>
        </w:tc>
      </w:tr>
    </w:tbl>
    <w:p>
      <w:pPr>
        <w:pStyle w:val="Normal"/>
        <w:spacing w:before="0" w:after="0"/>
        <w:rPr/>
      </w:pPr>
      <w:r>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370"/>
        <w:gridCol w:w="3610"/>
        <w:gridCol w:w="2236"/>
        <w:gridCol w:w="1384"/>
        <w:gridCol w:w="2038"/>
      </w:tblGrid>
      <w:tr>
        <w:trPr/>
        <w:tc>
          <w:tcPr>
            <w:tcW w:w="37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2</w:t>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Grado de la pendiente</w:t>
            </w:r>
          </w:p>
        </w:tc>
        <w:tc>
          <w:tcPr>
            <w:tcW w:w="2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Long, de la pendiente</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LS</w:t>
            </w:r>
          </w:p>
        </w:tc>
        <w:tc>
          <w:tcPr>
            <w:tcW w:w="2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A (t/ha año</w:t>
            </w:r>
            <w:r>
              <w:rPr>
                <w:b/>
                <w:vertAlign w:val="superscript"/>
              </w:rPr>
              <w:t>-1</w:t>
            </w:r>
            <w:r>
              <w:rPr>
                <w:b/>
              </w:rPr>
              <w:t>)</w:t>
            </w:r>
          </w:p>
        </w:tc>
      </w:tr>
      <w:tr>
        <w:trPr/>
        <w:tc>
          <w:tcPr>
            <w:tcW w:w="3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25</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0,480</w:t>
            </w:r>
          </w:p>
        </w:tc>
        <w:tc>
          <w:tcPr>
            <w:tcW w:w="2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90.57</w:t>
            </w:r>
          </w:p>
        </w:tc>
      </w:tr>
      <w:tr>
        <w:trPr/>
        <w:tc>
          <w:tcPr>
            <w:tcW w:w="3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50</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0,680</w:t>
            </w:r>
          </w:p>
        </w:tc>
        <w:tc>
          <w:tcPr>
            <w:tcW w:w="2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128.31</w:t>
            </w:r>
          </w:p>
        </w:tc>
      </w:tr>
      <w:tr>
        <w:trPr/>
        <w:tc>
          <w:tcPr>
            <w:tcW w:w="3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275</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1,595</w:t>
            </w:r>
          </w:p>
        </w:tc>
        <w:tc>
          <w:tcPr>
            <w:tcW w:w="2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300.97</w:t>
            </w:r>
          </w:p>
        </w:tc>
      </w:tr>
      <w:tr>
        <w:trPr/>
        <w:tc>
          <w:tcPr>
            <w:tcW w:w="37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300</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1,670</w:t>
            </w:r>
          </w:p>
        </w:tc>
        <w:tc>
          <w:tcPr>
            <w:tcW w:w="2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315.13</w:t>
            </w:r>
          </w:p>
        </w:tc>
      </w:tr>
    </w:tbl>
    <w:p>
      <w:pPr>
        <w:pStyle w:val="Normal"/>
        <w:rPr/>
      </w:pPr>
      <w:r>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415"/>
        <w:gridCol w:w="3608"/>
        <w:gridCol w:w="2192"/>
        <w:gridCol w:w="1398"/>
        <w:gridCol w:w="2025"/>
      </w:tblGrid>
      <w:tr>
        <w:trPr/>
        <w:tc>
          <w:tcPr>
            <w:tcW w:w="4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3</w:t>
            </w:r>
          </w:p>
        </w:tc>
        <w:tc>
          <w:tcPr>
            <w:tcW w:w="3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Grado de la pendiente</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Long, de la pendiente</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LS</w:t>
            </w:r>
          </w:p>
        </w:tc>
        <w:tc>
          <w:tcPr>
            <w:tcW w:w="2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
                <w:b/>
              </w:rPr>
            </w:pPr>
            <w:r>
              <w:rPr>
                <w:b/>
              </w:rPr>
              <w:t>A (t/ha año</w:t>
            </w:r>
            <w:r>
              <w:rPr>
                <w:b/>
                <w:vertAlign w:val="superscript"/>
              </w:rPr>
              <w:t>-1</w:t>
            </w:r>
            <w:r>
              <w:rPr>
                <w:b/>
              </w:rPr>
              <w:t>)</w:t>
            </w:r>
          </w:p>
        </w:tc>
      </w:tr>
      <w:tr>
        <w:trPr/>
        <w:tc>
          <w:tcPr>
            <w:tcW w:w="4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200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0,230</w:t>
            </w:r>
          </w:p>
        </w:tc>
        <w:tc>
          <w:tcPr>
            <w:tcW w:w="2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43.4</w:t>
            </w:r>
          </w:p>
        </w:tc>
      </w:tr>
      <w:tr>
        <w:trPr/>
        <w:tc>
          <w:tcPr>
            <w:tcW w:w="4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200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0,350</w:t>
            </w:r>
          </w:p>
        </w:tc>
        <w:tc>
          <w:tcPr>
            <w:tcW w:w="2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66.04</w:t>
            </w:r>
          </w:p>
        </w:tc>
      </w:tr>
      <w:tr>
        <w:trPr/>
        <w:tc>
          <w:tcPr>
            <w:tcW w:w="4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5%</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200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1,360</w:t>
            </w:r>
          </w:p>
        </w:tc>
        <w:tc>
          <w:tcPr>
            <w:tcW w:w="2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256.32</w:t>
            </w:r>
          </w:p>
        </w:tc>
      </w:tr>
      <w:tr>
        <w:trPr/>
        <w:tc>
          <w:tcPr>
            <w:tcW w:w="4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r>
          </w:p>
        </w:tc>
        <w:tc>
          <w:tcPr>
            <w:tcW w:w="3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6%</w:t>
            </w:r>
          </w:p>
        </w:tc>
        <w:tc>
          <w:tcPr>
            <w:tcW w:w="21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rPr>
            </w:pPr>
            <w:r>
              <w:rPr>
                <w:bCs/>
              </w:rPr>
              <w:t>200</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1,710</w:t>
            </w:r>
          </w:p>
        </w:tc>
        <w:tc>
          <w:tcPr>
            <w:tcW w:w="2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aImagenes"/>
              <w:rPr>
                <w:bCs/>
                <w:color w:val="FF0000"/>
              </w:rPr>
            </w:pPr>
            <w:r>
              <w:rPr>
                <w:bCs/>
                <w:color w:val="FF0000"/>
              </w:rPr>
              <w:t>322.67</w:t>
            </w:r>
          </w:p>
        </w:tc>
      </w:tr>
    </w:tbl>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Ttulo3"/>
        <w:numPr>
          <w:ilvl w:val="0"/>
          <w:numId w:val="5"/>
        </w:numPr>
        <w:ind w:left="1287" w:firstLine="567"/>
        <w:rPr/>
      </w:pPr>
      <w:bookmarkStart w:id="26" w:name="_Toc494448779"/>
      <w:r>
        <w:rPr/>
        <w:t>Grafique las tres situaciones y saque conclusiones ante:</w:t>
      </w:r>
      <w:bookmarkEnd w:id="26"/>
      <w:r>
        <w:rPr/>
        <w:t xml:space="preserve"> </w:t>
      </w:r>
    </w:p>
    <w:p>
      <w:pPr>
        <w:pStyle w:val="Vietaslineas"/>
        <w:numPr>
          <w:ilvl w:val="0"/>
          <w:numId w:val="4"/>
        </w:numPr>
        <w:ind w:left="0" w:hanging="0"/>
        <w:jc w:val="left"/>
        <w:rPr/>
      </w:pPr>
      <w:r>
        <w:rPr/>
        <w:t xml:space="preserve">aumentos de grado y longitud de la pendiente respecto a pérdidas de  </w:t>
      </w:r>
      <w:commentRangeStart w:id="18"/>
      <w:r>
        <w:rPr/>
        <w:t>suelo</w:t>
      </w:r>
      <w:r>
        <w:rPr/>
      </w:r>
      <w:commentRangeEnd w:id="18"/>
      <w:r>
        <w:commentReference w:id="18"/>
      </w:r>
      <w:r>
        <w:rPr/>
        <w:t xml:space="preserve"> </w:t>
      </w:r>
    </w:p>
    <w:p>
      <w:pPr>
        <w:pStyle w:val="Vietaslineas"/>
        <w:numPr>
          <w:ilvl w:val="0"/>
          <w:numId w:val="0"/>
        </w:numPr>
        <w:ind w:left="0" w:hanging="0"/>
        <w:rPr/>
      </w:pPr>
      <w:r>
        <w:rPr/>
      </w:r>
    </w:p>
    <w:p>
      <w:pPr>
        <w:pStyle w:val="Vietaslineas"/>
        <w:numPr>
          <w:ilvl w:val="0"/>
          <w:numId w:val="0"/>
        </w:numPr>
        <w:ind w:left="0" w:hanging="0"/>
        <w:jc w:val="center"/>
        <w:rPr/>
      </w:pPr>
      <w:r>
        <w:rPr/>
        <w:drawing>
          <wp:inline distT="0" distB="0" distL="19050" distR="0">
            <wp:extent cx="2952750" cy="1784985"/>
            <wp:effectExtent l="0" t="0" r="0" b="0"/>
            <wp:docPr id="8"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descr=""/>
                    <pic:cNvPicPr>
                      <a:picLocks noChangeAspect="1" noChangeArrowheads="1"/>
                    </pic:cNvPicPr>
                  </pic:nvPicPr>
                  <pic:blipFill>
                    <a:blip r:embed="rId11"/>
                    <a:stretch>
                      <a:fillRect/>
                    </a:stretch>
                  </pic:blipFill>
                  <pic:spPr bwMode="auto">
                    <a:xfrm>
                      <a:off x="0" y="0"/>
                      <a:ext cx="2952750" cy="1784985"/>
                    </a:xfrm>
                    <a:prstGeom prst="rect">
                      <a:avLst/>
                    </a:prstGeom>
                  </pic:spPr>
                </pic:pic>
              </a:graphicData>
            </a:graphic>
          </wp:inline>
        </w:drawing>
      </w:r>
    </w:p>
    <w:p>
      <w:pPr>
        <w:pStyle w:val="Vietaslineas"/>
        <w:numPr>
          <w:ilvl w:val="0"/>
          <w:numId w:val="0"/>
        </w:numPr>
        <w:ind w:left="0" w:hanging="0"/>
        <w:rPr/>
      </w:pPr>
      <w:r>
        <w:rPr/>
      </w:r>
    </w:p>
    <w:p>
      <w:pPr>
        <w:pStyle w:val="Vietaslineas"/>
        <w:numPr>
          <w:ilvl w:val="0"/>
          <w:numId w:val="4"/>
        </w:numPr>
        <w:ind w:left="0" w:hanging="0"/>
        <w:rPr/>
      </w:pPr>
      <w:r>
        <w:rPr/>
        <w:t xml:space="preserve">incrementos iguales de longitud de la pendiente respecto a incrementos  de pérdida de suelo, manteniendo el grado de la pendiente </w:t>
      </w:r>
      <w:commentRangeStart w:id="19"/>
      <w:r>
        <w:rPr/>
        <w:t>constante</w:t>
      </w:r>
      <w:r>
        <w:rPr/>
      </w:r>
      <w:commentRangeEnd w:id="19"/>
      <w:r>
        <w:commentReference w:id="19"/>
      </w:r>
      <w:r>
        <w:rPr/>
        <w:t xml:space="preserve"> </w:t>
      </w:r>
    </w:p>
    <w:p>
      <w:pPr>
        <w:pStyle w:val="Vietaslineas"/>
        <w:numPr>
          <w:ilvl w:val="0"/>
          <w:numId w:val="0"/>
        </w:numPr>
        <w:ind w:left="0" w:hanging="0"/>
        <w:rPr/>
      </w:pPr>
      <w:r>
        <w:rPr/>
      </w:r>
    </w:p>
    <w:p>
      <w:pPr>
        <w:pStyle w:val="Vietaslineas"/>
        <w:numPr>
          <w:ilvl w:val="0"/>
          <w:numId w:val="0"/>
        </w:numPr>
        <w:ind w:left="0" w:hanging="0"/>
        <w:jc w:val="center"/>
        <w:rPr/>
      </w:pPr>
      <w:r>
        <w:rPr/>
        <w:drawing>
          <wp:inline distT="0" distB="0" distL="19050" distR="0">
            <wp:extent cx="3086100" cy="1865630"/>
            <wp:effectExtent l="0" t="0" r="0" b="0"/>
            <wp:docPr id="9" name="Imagen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7" descr=""/>
                    <pic:cNvPicPr>
                      <a:picLocks noChangeAspect="1" noChangeArrowheads="1"/>
                    </pic:cNvPicPr>
                  </pic:nvPicPr>
                  <pic:blipFill>
                    <a:blip r:embed="rId12"/>
                    <a:stretch>
                      <a:fillRect/>
                    </a:stretch>
                  </pic:blipFill>
                  <pic:spPr bwMode="auto">
                    <a:xfrm>
                      <a:off x="0" y="0"/>
                      <a:ext cx="3086100" cy="1865630"/>
                    </a:xfrm>
                    <a:prstGeom prst="rect">
                      <a:avLst/>
                    </a:prstGeom>
                  </pic:spPr>
                </pic:pic>
              </a:graphicData>
            </a:graphic>
          </wp:inline>
        </w:drawing>
      </w:r>
    </w:p>
    <w:p>
      <w:pPr>
        <w:pStyle w:val="Vietaslineas"/>
        <w:numPr>
          <w:ilvl w:val="0"/>
          <w:numId w:val="0"/>
        </w:numPr>
        <w:ind w:left="0" w:hanging="0"/>
        <w:jc w:val="center"/>
        <w:rPr/>
      </w:pPr>
      <w:r>
        <w:rPr/>
      </w:r>
    </w:p>
    <w:p>
      <w:pPr>
        <w:pStyle w:val="Vietaslineas"/>
        <w:numPr>
          <w:ilvl w:val="0"/>
          <w:numId w:val="4"/>
        </w:numPr>
        <w:ind w:left="0" w:hanging="0"/>
        <w:rPr/>
      </w:pPr>
      <w:r>
        <w:rPr/>
        <w:t xml:space="preserve">incrementos iguales de grado de la pendiente respecto a incrementos de pérdida de suelo, manteniendo constante la longitud de la </w:t>
      </w:r>
      <w:commentRangeStart w:id="20"/>
      <w:r>
        <w:rPr/>
        <w:t>pendiente</w:t>
      </w:r>
      <w:r>
        <w:rPr/>
      </w:r>
      <w:commentRangeEnd w:id="20"/>
      <w:r>
        <w:commentReference w:id="20"/>
      </w:r>
      <w:r>
        <w:rPr/>
        <w:t xml:space="preserve">. </w:t>
      </w:r>
    </w:p>
    <w:p>
      <w:pPr>
        <w:pStyle w:val="Vietaslineas"/>
        <w:numPr>
          <w:ilvl w:val="0"/>
          <w:numId w:val="0"/>
        </w:numPr>
        <w:ind w:left="0" w:hanging="0"/>
        <w:jc w:val="center"/>
        <w:rPr/>
      </w:pPr>
      <w:r>
        <w:rPr/>
        <w:drawing>
          <wp:inline distT="0" distB="0" distL="19050" distR="0">
            <wp:extent cx="3143250" cy="1600200"/>
            <wp:effectExtent l="0" t="0" r="0" b="0"/>
            <wp:docPr id="10"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8" descr=""/>
                    <pic:cNvPicPr>
                      <a:picLocks noChangeAspect="1" noChangeArrowheads="1"/>
                    </pic:cNvPicPr>
                  </pic:nvPicPr>
                  <pic:blipFill>
                    <a:blip r:embed="rId13"/>
                    <a:stretch>
                      <a:fillRect/>
                    </a:stretch>
                  </pic:blipFill>
                  <pic:spPr bwMode="auto">
                    <a:xfrm>
                      <a:off x="0" y="0"/>
                      <a:ext cx="3143250" cy="1600200"/>
                    </a:xfrm>
                    <a:prstGeom prst="rect">
                      <a:avLst/>
                    </a:prstGeom>
                  </pic:spPr>
                </pic:pic>
              </a:graphicData>
            </a:graphic>
          </wp:inline>
        </w:drawing>
      </w:r>
    </w:p>
    <w:p>
      <w:pPr>
        <w:pStyle w:val="Normal"/>
        <w:spacing w:before="0" w:after="0"/>
        <w:ind w:hanging="0"/>
        <w:jc w:val="left"/>
        <w:rPr/>
      </w:pPr>
      <w:r>
        <w:rPr/>
      </w:r>
    </w:p>
    <w:p>
      <w:pPr>
        <w:pStyle w:val="Normal"/>
        <w:ind w:hanging="0"/>
        <w:rPr>
          <w:color w:val="FF0000"/>
        </w:rPr>
      </w:pPr>
      <w:r>
        <w:rPr>
          <w:color w:val="FF0000"/>
        </w:rPr>
        <w:t>Al aumentar el grado y la longitud de la pendiente aumenta exponencialmente la pèrdida de suelo. Respecto a la Longitud el incremento de pérdida es decreciente y respecto al grado dicho incremento es creciente.</w:t>
      </w:r>
    </w:p>
    <w:p>
      <w:pPr>
        <w:pStyle w:val="Normal"/>
        <w:spacing w:before="0" w:after="0"/>
        <w:ind w:hanging="0"/>
        <w:jc w:val="left"/>
        <w:rPr/>
      </w:pPr>
      <w:r>
        <w:rPr/>
      </w:r>
    </w:p>
    <w:p>
      <w:pPr>
        <w:pStyle w:val="Normal"/>
        <w:spacing w:before="0" w:after="0"/>
        <w:ind w:hanging="0"/>
        <w:jc w:val="left"/>
        <w:rPr/>
      </w:pPr>
      <w:r>
        <w:rPr/>
      </w:r>
      <w:r>
        <w:br w:type="page"/>
      </w:r>
    </w:p>
    <w:p>
      <w:pPr>
        <w:pStyle w:val="Normal"/>
        <w:rPr/>
      </w:pPr>
      <w:r>
        <w:rPr/>
        <w:t xml:space="preserve">Tabla 3: Tabla de pérdidas de suelo relativas estimadas para segmentos sucesivos de igual longitud. </w:t>
      </w:r>
    </w:p>
    <w:tbl>
      <w:tblPr>
        <w:tblW w:w="5000" w:type="pct"/>
        <w:jc w:val="left"/>
        <w:tblInd w:w="0" w:type="dxa"/>
        <w:tblBorders>
          <w:bottom w:val="single" w:sz="4" w:space="0" w:color="000000"/>
          <w:insideH w:val="single" w:sz="4" w:space="0" w:color="000000"/>
        </w:tblBorders>
        <w:tblCellMar>
          <w:top w:w="0" w:type="dxa"/>
          <w:left w:w="70" w:type="dxa"/>
          <w:bottom w:w="0" w:type="dxa"/>
          <w:right w:w="70" w:type="dxa"/>
        </w:tblCellMar>
        <w:tblLook w:val="0000"/>
      </w:tblPr>
      <w:tblGrid>
        <w:gridCol w:w="1926"/>
        <w:gridCol w:w="1928"/>
        <w:gridCol w:w="1927"/>
        <w:gridCol w:w="1928"/>
        <w:gridCol w:w="1929"/>
      </w:tblGrid>
      <w:tr>
        <w:trPr>
          <w:cantSplit w:val="true"/>
        </w:trPr>
        <w:tc>
          <w:tcPr>
            <w:tcW w:w="1926" w:type="dxa"/>
            <w:vMerge w:val="restart"/>
            <w:tcBorders>
              <w:bottom w:val="single" w:sz="4" w:space="0" w:color="000000"/>
              <w:insideH w:val="single" w:sz="4" w:space="0" w:color="000000"/>
            </w:tcBorders>
            <w:shd w:fill="auto" w:val="clear"/>
            <w:vAlign w:val="center"/>
          </w:tcPr>
          <w:p>
            <w:pPr>
              <w:pStyle w:val="TablaImagenes"/>
              <w:rPr>
                <w:b/>
                <w:b/>
              </w:rPr>
            </w:pPr>
            <w:r>
              <w:rPr>
                <w:b/>
              </w:rPr>
              <w:t>Nº de segmentos</w:t>
            </w:r>
          </w:p>
        </w:tc>
        <w:tc>
          <w:tcPr>
            <w:tcW w:w="1928" w:type="dxa"/>
            <w:vMerge w:val="restart"/>
            <w:tcBorders>
              <w:bottom w:val="single" w:sz="4" w:space="0" w:color="000000"/>
              <w:insideH w:val="single" w:sz="4" w:space="0" w:color="000000"/>
            </w:tcBorders>
            <w:shd w:fill="auto" w:val="clear"/>
            <w:vAlign w:val="center"/>
          </w:tcPr>
          <w:p>
            <w:pPr>
              <w:pStyle w:val="TablaImagenes"/>
              <w:rPr>
                <w:b/>
                <w:b/>
              </w:rPr>
            </w:pPr>
            <w:r>
              <w:rPr>
                <w:b/>
              </w:rPr>
              <w:t>Segmento</w:t>
            </w:r>
          </w:p>
        </w:tc>
        <w:tc>
          <w:tcPr>
            <w:tcW w:w="5784" w:type="dxa"/>
            <w:gridSpan w:val="3"/>
            <w:tcBorders>
              <w:bottom w:val="single" w:sz="4" w:space="0" w:color="000000"/>
              <w:insideH w:val="single" w:sz="4" w:space="0" w:color="000000"/>
            </w:tcBorders>
            <w:shd w:fill="auto" w:val="clear"/>
            <w:vAlign w:val="center"/>
          </w:tcPr>
          <w:p>
            <w:pPr>
              <w:pStyle w:val="TablaImagenes"/>
              <w:rPr>
                <w:b/>
                <w:b/>
              </w:rPr>
            </w:pPr>
            <w:r>
              <w:rPr>
                <w:b/>
              </w:rPr>
              <w:t>Fracción pérdida de suelo</w:t>
            </w:r>
          </w:p>
        </w:tc>
      </w:tr>
      <w:tr>
        <w:trPr>
          <w:cantSplit w:val="true"/>
        </w:trPr>
        <w:tc>
          <w:tcPr>
            <w:tcW w:w="1926" w:type="dxa"/>
            <w:vMerge w:val="continue"/>
            <w:tcBorders>
              <w:top w:val="single" w:sz="4" w:space="0" w:color="000000"/>
              <w:bottom w:val="double" w:sz="4" w:space="0" w:color="000000"/>
              <w:insideH w:val="double" w:sz="4" w:space="0" w:color="000000"/>
            </w:tcBorders>
            <w:shd w:fill="auto" w:val="clear"/>
            <w:vAlign w:val="center"/>
          </w:tcPr>
          <w:p>
            <w:pPr>
              <w:pStyle w:val="TablaImagenes"/>
              <w:rPr/>
            </w:pPr>
            <w:r>
              <w:rPr/>
            </w:r>
          </w:p>
        </w:tc>
        <w:tc>
          <w:tcPr>
            <w:tcW w:w="1928" w:type="dxa"/>
            <w:vMerge w:val="continue"/>
            <w:tcBorders>
              <w:top w:val="single" w:sz="4" w:space="0" w:color="000000"/>
              <w:bottom w:val="double" w:sz="4" w:space="0" w:color="000000"/>
              <w:insideH w:val="double" w:sz="4" w:space="0" w:color="000000"/>
            </w:tcBorders>
            <w:shd w:fill="auto" w:val="clear"/>
            <w:vAlign w:val="center"/>
          </w:tcPr>
          <w:p>
            <w:pPr>
              <w:pStyle w:val="TablaImagenes"/>
              <w:rPr/>
            </w:pPr>
            <w:r>
              <w:rPr/>
            </w:r>
          </w:p>
        </w:tc>
        <w:tc>
          <w:tcPr>
            <w:tcW w:w="1927" w:type="dxa"/>
            <w:tcBorders>
              <w:top w:val="single" w:sz="4" w:space="0" w:color="000000"/>
              <w:bottom w:val="double" w:sz="4" w:space="0" w:color="000000"/>
              <w:insideH w:val="double" w:sz="4" w:space="0" w:color="000000"/>
            </w:tcBorders>
            <w:shd w:fill="auto" w:val="clear"/>
            <w:vAlign w:val="center"/>
          </w:tcPr>
          <w:p>
            <w:pPr>
              <w:pStyle w:val="TablaImagenes"/>
              <w:rPr>
                <w:i/>
                <w:i/>
              </w:rPr>
            </w:pPr>
            <w:r>
              <w:rPr>
                <w:i/>
              </w:rPr>
              <w:t xml:space="preserve">Pend. </w:t>
            </w:r>
            <w:r>
              <w:rPr>
                <w:rFonts w:eastAsia="Symbol" w:cs="Symbol" w:ascii="Symbol" w:hAnsi="Symbol"/>
                <w:i/>
                <w:szCs w:val="22"/>
              </w:rPr>
              <w:t></w:t>
            </w:r>
            <w:r>
              <w:rPr>
                <w:i/>
              </w:rPr>
              <w:t xml:space="preserve"> a 5%</w:t>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i/>
                <w:i/>
              </w:rPr>
            </w:pPr>
            <w:r>
              <w:rPr>
                <w:i/>
                <w:highlight w:val="yellow"/>
              </w:rPr>
              <w:t>Pend entre 3 y 5 %</w:t>
            </w:r>
          </w:p>
        </w:tc>
        <w:tc>
          <w:tcPr>
            <w:tcW w:w="1929" w:type="dxa"/>
            <w:tcBorders>
              <w:top w:val="single" w:sz="4" w:space="0" w:color="000000"/>
              <w:bottom w:val="double" w:sz="4" w:space="0" w:color="000000"/>
              <w:insideH w:val="double" w:sz="4" w:space="0" w:color="000000"/>
            </w:tcBorders>
            <w:shd w:fill="auto" w:val="clear"/>
            <w:vAlign w:val="center"/>
          </w:tcPr>
          <w:p>
            <w:pPr>
              <w:pStyle w:val="TablaImagenes"/>
              <w:rPr>
                <w:i/>
                <w:i/>
              </w:rPr>
            </w:pPr>
            <w:r>
              <w:rPr>
                <w:i/>
              </w:rPr>
              <w:t xml:space="preserve">Pend </w:t>
            </w:r>
            <w:r>
              <w:rPr>
                <w:rFonts w:eastAsia="Symbol" w:cs="Symbol" w:ascii="Symbol" w:hAnsi="Symbol"/>
                <w:i/>
                <w:szCs w:val="22"/>
              </w:rPr>
              <w:t></w:t>
            </w:r>
            <w:r>
              <w:rPr>
                <w:i/>
              </w:rPr>
              <w:t>a 3%</w:t>
            </w:r>
          </w:p>
        </w:tc>
      </w:tr>
      <w:tr>
        <w:trPr>
          <w:cantSplit w:val="true"/>
        </w:trPr>
        <w:tc>
          <w:tcPr>
            <w:tcW w:w="1926" w:type="dxa"/>
            <w:vMerge w:val="restart"/>
            <w:tcBorders>
              <w:top w:val="double" w:sz="4" w:space="0" w:color="000000"/>
              <w:bottom w:val="single" w:sz="4" w:space="0" w:color="000000"/>
              <w:insideH w:val="single" w:sz="4" w:space="0" w:color="000000"/>
            </w:tcBorders>
            <w:shd w:fill="auto" w:val="clear"/>
            <w:vAlign w:val="center"/>
          </w:tcPr>
          <w:p>
            <w:pPr>
              <w:pStyle w:val="TablaImagenes"/>
              <w:rPr>
                <w:b/>
                <w:b/>
              </w:rPr>
            </w:pPr>
            <w:r>
              <w:rPr>
                <w:b/>
                <w:highlight w:val="yellow"/>
              </w:rPr>
              <w:t>2</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1</w:t>
            </w:r>
          </w:p>
        </w:tc>
        <w:tc>
          <w:tcPr>
            <w:tcW w:w="1927"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0.35</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highlight w:val="yellow"/>
              </w:rPr>
            </w:pPr>
            <w:r>
              <w:rPr>
                <w:bCs/>
                <w:highlight w:val="yellow"/>
              </w:rPr>
              <w:t>0.38</w:t>
            </w:r>
          </w:p>
        </w:tc>
        <w:tc>
          <w:tcPr>
            <w:tcW w:w="1929"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0.41</w:t>
            </w:r>
          </w:p>
        </w:tc>
      </w:tr>
      <w:tr>
        <w:trPr>
          <w:cantSplit w:val="true"/>
        </w:trPr>
        <w:tc>
          <w:tcPr>
            <w:tcW w:w="1926" w:type="dxa"/>
            <w:vMerge w:val="continue"/>
            <w:tcBorders>
              <w:top w:val="single" w:sz="4" w:space="0" w:color="000000"/>
              <w:bottom w:val="double" w:sz="4" w:space="0" w:color="000000"/>
              <w:insideH w:val="double" w:sz="4" w:space="0" w:color="000000"/>
            </w:tcBorders>
            <w:shd w:fill="auto" w:val="clear"/>
            <w:vAlign w:val="center"/>
          </w:tcPr>
          <w:p>
            <w:pPr>
              <w:pStyle w:val="TablaImagenes"/>
              <w:rPr>
                <w:b/>
                <w:b/>
              </w:rPr>
            </w:pPr>
            <w:r>
              <w:rPr>
                <w:b/>
              </w:rPr>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2</w:t>
            </w:r>
          </w:p>
        </w:tc>
        <w:tc>
          <w:tcPr>
            <w:tcW w:w="1927"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0.65</w:t>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highlight w:val="yellow"/>
              </w:rPr>
            </w:pPr>
            <w:r>
              <w:rPr>
                <w:bCs/>
                <w:highlight w:val="yellow"/>
              </w:rPr>
              <w:t>0.62</w:t>
            </w:r>
          </w:p>
        </w:tc>
        <w:tc>
          <w:tcPr>
            <w:tcW w:w="1929"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0.59</w:t>
            </w:r>
          </w:p>
        </w:tc>
      </w:tr>
      <w:tr>
        <w:trPr>
          <w:cantSplit w:val="true"/>
        </w:trPr>
        <w:tc>
          <w:tcPr>
            <w:tcW w:w="1926" w:type="dxa"/>
            <w:vMerge w:val="restart"/>
            <w:tcBorders>
              <w:top w:val="double" w:sz="4" w:space="0" w:color="000000"/>
              <w:bottom w:val="single" w:sz="4" w:space="0" w:color="000000"/>
              <w:insideH w:val="single" w:sz="4" w:space="0" w:color="000000"/>
            </w:tcBorders>
            <w:shd w:fill="auto" w:val="clear"/>
            <w:vAlign w:val="center"/>
          </w:tcPr>
          <w:p>
            <w:pPr>
              <w:pStyle w:val="TablaImagenes"/>
              <w:rPr>
                <w:b/>
                <w:b/>
              </w:rPr>
            </w:pPr>
            <w:r>
              <w:rPr>
                <w:b/>
              </w:rPr>
              <w:t>3</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1</w:t>
            </w:r>
          </w:p>
        </w:tc>
        <w:tc>
          <w:tcPr>
            <w:tcW w:w="1927"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0.19</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0.22</w:t>
            </w:r>
          </w:p>
        </w:tc>
        <w:tc>
          <w:tcPr>
            <w:tcW w:w="1929"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0.24</w:t>
            </w:r>
          </w:p>
        </w:tc>
      </w:tr>
      <w:tr>
        <w:trPr>
          <w:cantSplit w:val="true"/>
        </w:trPr>
        <w:tc>
          <w:tcPr>
            <w:tcW w:w="1926" w:type="dxa"/>
            <w:vMerge w:val="continue"/>
            <w:tcBorders>
              <w:top w:val="single" w:sz="4" w:space="0" w:color="000000"/>
              <w:bottom w:val="single" w:sz="4" w:space="0" w:color="000000"/>
              <w:insideH w:val="single" w:sz="4" w:space="0" w:color="000000"/>
            </w:tcBorders>
            <w:shd w:fill="auto" w:val="clear"/>
            <w:vAlign w:val="center"/>
          </w:tcPr>
          <w:p>
            <w:pPr>
              <w:pStyle w:val="TablaImagenes"/>
              <w:rPr>
                <w:b/>
                <w:b/>
              </w:rPr>
            </w:pPr>
            <w:r>
              <w:rPr>
                <w:b/>
              </w:rPr>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2</w:t>
            </w:r>
          </w:p>
        </w:tc>
        <w:tc>
          <w:tcPr>
            <w:tcW w:w="1927"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0.35</w:t>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0.35</w:t>
            </w:r>
          </w:p>
        </w:tc>
        <w:tc>
          <w:tcPr>
            <w:tcW w:w="1929"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0.35</w:t>
            </w:r>
          </w:p>
        </w:tc>
      </w:tr>
      <w:tr>
        <w:trPr>
          <w:cantSplit w:val="true"/>
        </w:trPr>
        <w:tc>
          <w:tcPr>
            <w:tcW w:w="1926" w:type="dxa"/>
            <w:vMerge w:val="continue"/>
            <w:tcBorders>
              <w:top w:val="single" w:sz="4" w:space="0" w:color="000000"/>
              <w:bottom w:val="double" w:sz="4" w:space="0" w:color="000000"/>
              <w:insideH w:val="double" w:sz="4" w:space="0" w:color="000000"/>
            </w:tcBorders>
            <w:shd w:fill="auto" w:val="clear"/>
            <w:vAlign w:val="center"/>
          </w:tcPr>
          <w:p>
            <w:pPr>
              <w:pStyle w:val="TablaImagenes"/>
              <w:rPr>
                <w:b/>
                <w:b/>
              </w:rPr>
            </w:pPr>
            <w:r>
              <w:rPr>
                <w:b/>
              </w:rPr>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3</w:t>
            </w:r>
          </w:p>
        </w:tc>
        <w:tc>
          <w:tcPr>
            <w:tcW w:w="1927"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0.46</w:t>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0.43</w:t>
            </w:r>
          </w:p>
        </w:tc>
        <w:tc>
          <w:tcPr>
            <w:tcW w:w="1929"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0.41</w:t>
            </w:r>
          </w:p>
        </w:tc>
      </w:tr>
      <w:tr>
        <w:trPr>
          <w:cantSplit w:val="true"/>
        </w:trPr>
        <w:tc>
          <w:tcPr>
            <w:tcW w:w="1926" w:type="dxa"/>
            <w:vMerge w:val="restart"/>
            <w:tcBorders>
              <w:top w:val="double" w:sz="4" w:space="0" w:color="000000"/>
              <w:bottom w:val="single" w:sz="4" w:space="0" w:color="000000"/>
              <w:insideH w:val="single" w:sz="4" w:space="0" w:color="000000"/>
            </w:tcBorders>
            <w:shd w:fill="auto" w:val="clear"/>
            <w:vAlign w:val="center"/>
          </w:tcPr>
          <w:p>
            <w:pPr>
              <w:pStyle w:val="TablaImagenes"/>
              <w:rPr>
                <w:b/>
                <w:b/>
              </w:rPr>
            </w:pPr>
            <w:r>
              <w:rPr>
                <w:b/>
              </w:rPr>
              <w:t>4</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1</w:t>
            </w:r>
          </w:p>
        </w:tc>
        <w:tc>
          <w:tcPr>
            <w:tcW w:w="1927"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0.12</w:t>
            </w:r>
          </w:p>
        </w:tc>
        <w:tc>
          <w:tcPr>
            <w:tcW w:w="1928"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0.14</w:t>
            </w:r>
          </w:p>
        </w:tc>
        <w:tc>
          <w:tcPr>
            <w:tcW w:w="1929" w:type="dxa"/>
            <w:tcBorders>
              <w:top w:val="double" w:sz="4" w:space="0" w:color="000000"/>
              <w:bottom w:val="single" w:sz="4" w:space="0" w:color="000000"/>
              <w:insideH w:val="single" w:sz="4" w:space="0" w:color="000000"/>
            </w:tcBorders>
            <w:shd w:fill="auto" w:val="clear"/>
            <w:vAlign w:val="center"/>
          </w:tcPr>
          <w:p>
            <w:pPr>
              <w:pStyle w:val="TablaImagenes"/>
              <w:rPr>
                <w:bCs/>
              </w:rPr>
            </w:pPr>
            <w:r>
              <w:rPr>
                <w:bCs/>
              </w:rPr>
              <w:t>0.17</w:t>
            </w:r>
          </w:p>
        </w:tc>
      </w:tr>
      <w:tr>
        <w:trPr>
          <w:cantSplit w:val="true"/>
        </w:trPr>
        <w:tc>
          <w:tcPr>
            <w:tcW w:w="1926" w:type="dxa"/>
            <w:vMerge w:val="continue"/>
            <w:tcBorders>
              <w:top w:val="single" w:sz="4" w:space="0" w:color="000000"/>
              <w:bottom w:val="single" w:sz="4" w:space="0" w:color="000000"/>
              <w:insideH w:val="single" w:sz="4" w:space="0" w:color="000000"/>
            </w:tcBorders>
            <w:shd w:fill="auto" w:val="clear"/>
            <w:vAlign w:val="center"/>
          </w:tcPr>
          <w:p>
            <w:pPr>
              <w:pStyle w:val="TablaImagenes"/>
              <w:rPr>
                <w:bCs/>
              </w:rPr>
            </w:pPr>
            <w:r>
              <w:rPr>
                <w:bCs/>
              </w:rPr>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2</w:t>
            </w:r>
          </w:p>
        </w:tc>
        <w:tc>
          <w:tcPr>
            <w:tcW w:w="1927"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0.23</w:t>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0.24</w:t>
            </w:r>
          </w:p>
        </w:tc>
        <w:tc>
          <w:tcPr>
            <w:tcW w:w="1929"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0.24</w:t>
            </w:r>
          </w:p>
        </w:tc>
      </w:tr>
      <w:tr>
        <w:trPr>
          <w:cantSplit w:val="true"/>
        </w:trPr>
        <w:tc>
          <w:tcPr>
            <w:tcW w:w="1926" w:type="dxa"/>
            <w:vMerge w:val="continue"/>
            <w:tcBorders>
              <w:top w:val="single" w:sz="4" w:space="0" w:color="000000"/>
              <w:bottom w:val="single" w:sz="4" w:space="0" w:color="000000"/>
              <w:insideH w:val="single" w:sz="4" w:space="0" w:color="000000"/>
            </w:tcBorders>
            <w:shd w:fill="auto" w:val="clear"/>
            <w:vAlign w:val="center"/>
          </w:tcPr>
          <w:p>
            <w:pPr>
              <w:pStyle w:val="TablaImagenes"/>
              <w:rPr>
                <w:bCs/>
              </w:rPr>
            </w:pPr>
            <w:r>
              <w:rPr>
                <w:bCs/>
              </w:rPr>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3</w:t>
            </w:r>
          </w:p>
        </w:tc>
        <w:tc>
          <w:tcPr>
            <w:tcW w:w="1927"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0.3</w:t>
            </w:r>
          </w:p>
        </w:tc>
        <w:tc>
          <w:tcPr>
            <w:tcW w:w="1928"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0.29</w:t>
            </w:r>
          </w:p>
        </w:tc>
        <w:tc>
          <w:tcPr>
            <w:tcW w:w="1929" w:type="dxa"/>
            <w:tcBorders>
              <w:top w:val="single" w:sz="4" w:space="0" w:color="000000"/>
              <w:bottom w:val="single" w:sz="4" w:space="0" w:color="000000"/>
              <w:insideH w:val="single" w:sz="4" w:space="0" w:color="000000"/>
            </w:tcBorders>
            <w:shd w:fill="auto" w:val="clear"/>
            <w:vAlign w:val="center"/>
          </w:tcPr>
          <w:p>
            <w:pPr>
              <w:pStyle w:val="TablaImagenes"/>
              <w:rPr>
                <w:bCs/>
              </w:rPr>
            </w:pPr>
            <w:r>
              <w:rPr>
                <w:bCs/>
              </w:rPr>
              <w:t>0.28</w:t>
            </w:r>
          </w:p>
        </w:tc>
      </w:tr>
      <w:tr>
        <w:trPr>
          <w:cantSplit w:val="true"/>
        </w:trPr>
        <w:tc>
          <w:tcPr>
            <w:tcW w:w="1926" w:type="dxa"/>
            <w:vMerge w:val="continue"/>
            <w:tcBorders>
              <w:top w:val="single" w:sz="4" w:space="0" w:color="000000"/>
              <w:bottom w:val="double" w:sz="4" w:space="0" w:color="000000"/>
              <w:insideH w:val="double" w:sz="4" w:space="0" w:color="000000"/>
            </w:tcBorders>
            <w:shd w:fill="auto" w:val="clear"/>
            <w:vAlign w:val="center"/>
          </w:tcPr>
          <w:p>
            <w:pPr>
              <w:pStyle w:val="TablaImagenes"/>
              <w:rPr>
                <w:bCs/>
              </w:rPr>
            </w:pPr>
            <w:r>
              <w:rPr>
                <w:bCs/>
              </w:rPr>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4</w:t>
            </w:r>
          </w:p>
        </w:tc>
        <w:tc>
          <w:tcPr>
            <w:tcW w:w="1927"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0.35</w:t>
            </w:r>
          </w:p>
        </w:tc>
        <w:tc>
          <w:tcPr>
            <w:tcW w:w="1928"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0.33</w:t>
            </w:r>
          </w:p>
        </w:tc>
        <w:tc>
          <w:tcPr>
            <w:tcW w:w="1929" w:type="dxa"/>
            <w:tcBorders>
              <w:top w:val="single" w:sz="4" w:space="0" w:color="000000"/>
              <w:bottom w:val="double" w:sz="4" w:space="0" w:color="000000"/>
              <w:insideH w:val="double" w:sz="4" w:space="0" w:color="000000"/>
            </w:tcBorders>
            <w:shd w:fill="auto" w:val="clear"/>
            <w:vAlign w:val="center"/>
          </w:tcPr>
          <w:p>
            <w:pPr>
              <w:pStyle w:val="TablaImagenes"/>
              <w:rPr>
                <w:bCs/>
              </w:rPr>
            </w:pPr>
            <w:r>
              <w:rPr>
                <w:bCs/>
              </w:rPr>
              <w:t>0.31</w:t>
            </w:r>
          </w:p>
        </w:tc>
      </w:tr>
    </w:tbl>
    <w:p>
      <w:pPr>
        <w:pStyle w:val="Normal"/>
        <w:rPr/>
      </w:pPr>
      <w:r>
        <w:rPr/>
      </w:r>
    </w:p>
    <w:p>
      <w:pPr>
        <w:pStyle w:val="Ttulo3"/>
        <w:numPr>
          <w:ilvl w:val="0"/>
          <w:numId w:val="5"/>
        </w:numPr>
        <w:ind w:left="1287" w:firstLine="567"/>
        <w:rPr/>
      </w:pPr>
      <w:bookmarkStart w:id="27" w:name="_Toc494448780"/>
      <w:r>
        <w:rPr/>
        <w:t>Calcule el factor LS para pendientes desuniformes en los siguientes ejemplos:</w:t>
      </w:r>
      <w:bookmarkEnd w:id="27"/>
      <w:r>
        <w:rPr/>
        <w:t xml:space="preserve"> </w:t>
      </w:r>
    </w:p>
    <w:p>
      <w:pPr>
        <w:pStyle w:val="Vietasletras"/>
        <w:numPr>
          <w:ilvl w:val="0"/>
          <w:numId w:val="3"/>
        </w:numPr>
        <w:rPr/>
      </w:pPr>
      <w:r>
        <w:rPr/>
        <w:t xml:space="preserve">un lote con pendiente </w:t>
      </w:r>
      <w:r>
        <w:rPr>
          <w:highlight w:val="yellow"/>
        </w:rPr>
        <w:t>convexa</w:t>
      </w:r>
      <w:r>
        <w:rPr/>
        <w:t xml:space="preserve">, de 200 metros de longitud, donde en el  primer tramo tiene 3% de pendiente y el segundo tramo tiene 7%. </w:t>
      </w:r>
      <w:commentRangeStart w:id="21"/>
      <w:r>
        <w:rPr/>
        <w:t>-----</w:t>
      </w:r>
      <w:commentRangeEnd w:id="21"/>
      <w:r>
        <w:commentReference w:id="21"/>
      </w:r>
      <w:r>
        <w:rPr/>
      </w:r>
    </w:p>
    <w:p>
      <w:pPr>
        <w:pStyle w:val="Vietasletras"/>
        <w:numPr>
          <w:ilvl w:val="0"/>
          <w:numId w:val="3"/>
        </w:numPr>
        <w:rPr/>
      </w:pPr>
      <w:r>
        <w:rPr/>
        <w:t xml:space="preserve">un lote con pendiente cóncava, de 200 metros de longitud, con el primer tramo de 7% de pendiente y el segundo tramo de 3% de pendiente. </w:t>
      </w:r>
    </w:p>
    <w:p>
      <w:pPr>
        <w:pStyle w:val="Normal"/>
        <w:rPr/>
      </w:pPr>
      <w:r>
        <w:rPr/>
        <w:t>Utilice las Tablas 2 y 3.</w:t>
      </w:r>
    </w:p>
    <w:p>
      <w:pPr>
        <w:pStyle w:val="Ttulo4"/>
        <w:rPr/>
      </w:pPr>
      <w:r>
        <w:rPr>
          <w:highlight w:val="yellow"/>
        </w:rPr>
        <w:t>Pendiente convexa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376"/>
        <w:gridCol w:w="1376"/>
        <w:gridCol w:w="1376"/>
        <w:gridCol w:w="1379"/>
        <w:gridCol w:w="1378"/>
        <w:gridCol w:w="1378"/>
        <w:gridCol w:w="1374"/>
      </w:tblGrid>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Segmento</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 de pendiente</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Long</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2"/>
            <w:r>
              <w:rPr>
                <w:b/>
              </w:rPr>
              <w:t>LS</w:t>
            </w:r>
            <w:commentRangeEnd w:id="22"/>
            <w:r>
              <w:commentReference w:id="22"/>
            </w:r>
            <w:r>
              <w:rPr>
                <w:b/>
              </w:rPr>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3"/>
            <w:r>
              <w:rPr>
                <w:b/>
              </w:rPr>
              <w:t>Fracción de pérdida--</w:t>
            </w:r>
            <w:commentRangeEnd w:id="23"/>
            <w:r>
              <w:commentReference w:id="23"/>
            </w:r>
            <w:r>
              <w:rPr>
                <w:b/>
              </w:rPr>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4"/>
            <w:r>
              <w:rPr>
                <w:b/>
              </w:rPr>
              <w:t>LS corregido</w:t>
            </w:r>
            <w:commentRangeEnd w:id="24"/>
            <w:r>
              <w:commentReference w:id="24"/>
            </w:r>
            <w:r>
              <w:rPr>
                <w:b/>
              </w:rPr>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5"/>
            <w:r>
              <w:rPr>
                <w:b/>
              </w:rPr>
              <w:t>∑</w:t>
            </w:r>
            <w:r>
              <w:rPr>
                <w:b/>
              </w:rPr>
              <w:t>LS</w:t>
            </w:r>
            <w:commentRangeEnd w:id="25"/>
            <w:r>
              <w:commentReference w:id="25"/>
            </w:r>
            <w:r>
              <w:rPr>
                <w:b/>
              </w:rPr>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1</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3</w:t>
            </w:r>
          </w:p>
        </w:tc>
        <w:tc>
          <w:tcPr>
            <w:tcW w:w="1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200</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0,50</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0,38</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0,19</w:t>
            </w:r>
          </w:p>
        </w:tc>
        <w:tc>
          <w:tcPr>
            <w:tcW w:w="13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1,50</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2</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7</w:t>
            </w:r>
          </w:p>
        </w:tc>
        <w:tc>
          <w:tcPr>
            <w:tcW w:w="1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2,12</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0,62</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1,31</w:t>
            </w:r>
          </w:p>
        </w:tc>
        <w:tc>
          <w:tcPr>
            <w:tcW w:w="13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r>
          </w:p>
        </w:tc>
      </w:tr>
    </w:tbl>
    <w:p>
      <w:pPr>
        <w:pStyle w:val="Normal"/>
        <w:rPr/>
      </w:pPr>
      <w:r>
        <w:rPr/>
      </w:r>
    </w:p>
    <w:p>
      <w:pPr>
        <w:pStyle w:val="Ttulo4"/>
        <w:rPr/>
      </w:pPr>
      <w:r>
        <w:rPr/>
        <w:t>Pendiente cóncava</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376"/>
        <w:gridCol w:w="1376"/>
        <w:gridCol w:w="1376"/>
        <w:gridCol w:w="1379"/>
        <w:gridCol w:w="1378"/>
        <w:gridCol w:w="1378"/>
        <w:gridCol w:w="1374"/>
      </w:tblGrid>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Segmento</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 de pendiente</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Long</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6"/>
            <w:r>
              <w:rPr>
                <w:b/>
              </w:rPr>
              <w:t>LS</w:t>
            </w:r>
            <w:commentRangeEnd w:id="26"/>
            <w:r>
              <w:commentReference w:id="26"/>
            </w:r>
            <w:r>
              <w:rPr>
                <w:b/>
              </w:rPr>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commentRangeStart w:id="27"/>
            <w:r>
              <w:rPr>
                <w:b/>
              </w:rPr>
              <w:t>Fracción de pérdida</w:t>
            </w:r>
            <w:commentRangeEnd w:id="27"/>
            <w:r>
              <w:commentReference w:id="27"/>
            </w:r>
            <w:r>
              <w:rPr>
                <w:b/>
              </w:rPr>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LS corregido</w:t>
            </w:r>
          </w:p>
        </w:tc>
        <w:tc>
          <w:tcPr>
            <w:tcW w:w="1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w:t>
            </w:r>
            <w:r>
              <w:rPr>
                <w:b/>
              </w:rPr>
              <w:t>LS</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1</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7</w:t>
            </w:r>
          </w:p>
        </w:tc>
        <w:tc>
          <w:tcPr>
            <w:tcW w:w="13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200</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2,12</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0,38</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0,81</w:t>
            </w:r>
          </w:p>
        </w:tc>
        <w:tc>
          <w:tcPr>
            <w:tcW w:w="13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1,12</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2</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t>3</w:t>
            </w:r>
          </w:p>
        </w:tc>
        <w:tc>
          <w:tcPr>
            <w:tcW w:w="13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rPr>
            </w:pPr>
            <w:r>
              <w:rPr>
                <w:bCs/>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0,50</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0,62</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t>0,31</w:t>
            </w:r>
          </w:p>
        </w:tc>
        <w:tc>
          <w:tcPr>
            <w:tcW w:w="13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Cs/>
                <w:color w:val="FF0000"/>
              </w:rPr>
            </w:pPr>
            <w:r>
              <w:rPr>
                <w:bCs/>
                <w:color w:val="FF0000"/>
              </w:rPr>
            </w:r>
          </w:p>
        </w:tc>
      </w:tr>
    </w:tbl>
    <w:p>
      <w:pPr>
        <w:pStyle w:val="Normal"/>
        <w:rPr/>
      </w:pPr>
      <w:r>
        <w:rPr/>
      </w:r>
    </w:p>
    <w:p>
      <w:pPr>
        <w:pStyle w:val="Ttulo3"/>
        <w:numPr>
          <w:ilvl w:val="0"/>
          <w:numId w:val="5"/>
        </w:numPr>
        <w:ind w:left="1287" w:firstLine="567"/>
        <w:rPr/>
      </w:pPr>
      <w:r>
        <w:rPr/>
        <w:t>Calcule la pérdida de suelo para tres tipos de pendiente, las citadas anteriormente y una pendiente uniforme de 200 metros de longitud de 5% de pendiente en todo el lote. Se considera que el lote pertenece a un suelo similar al Perfil 1 y se encuentra ubicado en Pergamino. Los factores C y P valen 1.</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3885"/>
        <w:gridCol w:w="975"/>
        <w:gridCol w:w="1087"/>
        <w:gridCol w:w="1087"/>
        <w:gridCol w:w="528"/>
        <w:gridCol w:w="530"/>
        <w:gridCol w:w="1545"/>
      </w:tblGrid>
      <w:tr>
        <w:trPr/>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r>
          </w:p>
        </w:tc>
        <w:tc>
          <w:tcPr>
            <w:tcW w:w="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R</w:t>
            </w:r>
          </w:p>
        </w:tc>
        <w:tc>
          <w:tcPr>
            <w:tcW w:w="1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K</w:t>
            </w:r>
          </w:p>
        </w:tc>
        <w:tc>
          <w:tcPr>
            <w:tcW w:w="1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LS</w:t>
            </w:r>
          </w:p>
        </w:tc>
        <w:tc>
          <w:tcPr>
            <w:tcW w:w="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C</w:t>
            </w:r>
          </w:p>
        </w:tc>
        <w:tc>
          <w:tcPr>
            <w:tcW w:w="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P</w:t>
            </w:r>
          </w:p>
        </w:tc>
        <w:tc>
          <w:tcPr>
            <w:tcW w:w="1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A</w:t>
            </w:r>
          </w:p>
          <w:p>
            <w:pPr>
              <w:pStyle w:val="TablaImagenes"/>
              <w:rPr>
                <w:b/>
                <w:b/>
                <w:lang w:val="es-MX"/>
              </w:rPr>
            </w:pPr>
            <w:r>
              <w:rPr>
                <w:b/>
                <w:lang w:val="es-MX"/>
              </w:rPr>
              <w:t>(t ha año</w:t>
            </w:r>
            <w:r>
              <w:rPr>
                <w:b/>
                <w:vertAlign w:val="superscript"/>
                <w:lang w:val="es-MX"/>
              </w:rPr>
              <w:t>-1</w:t>
            </w:r>
            <w:r>
              <w:rPr>
                <w:b/>
                <w:lang w:val="es-MX"/>
              </w:rPr>
              <w:t>)</w:t>
            </w:r>
          </w:p>
        </w:tc>
      </w:tr>
      <w:tr>
        <w:trPr/>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rPr>
            </w:pPr>
            <w:commentRangeStart w:id="28"/>
            <w:r>
              <w:rPr>
                <w:i/>
              </w:rPr>
              <w:t>Pendiente uniforme</w:t>
            </w:r>
            <w:commentRangeEnd w:id="28"/>
            <w:r>
              <w:commentReference w:id="28"/>
            </w:r>
            <w:r>
              <w:rPr>
                <w:i/>
              </w:rPr>
            </w:r>
          </w:p>
        </w:tc>
        <w:tc>
          <w:tcPr>
            <w:tcW w:w="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473</w:t>
            </w:r>
          </w:p>
        </w:tc>
        <w:tc>
          <w:tcPr>
            <w:tcW w:w="108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0,399</w:t>
            </w:r>
          </w:p>
        </w:tc>
        <w:tc>
          <w:tcPr>
            <w:tcW w:w="1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1,36</w:t>
            </w:r>
          </w:p>
        </w:tc>
        <w:tc>
          <w:tcPr>
            <w:tcW w:w="5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w:t>
            </w:r>
          </w:p>
        </w:tc>
        <w:tc>
          <w:tcPr>
            <w:tcW w:w="5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w:t>
            </w:r>
          </w:p>
        </w:tc>
        <w:tc>
          <w:tcPr>
            <w:tcW w:w="1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256.63</w:t>
            </w:r>
          </w:p>
        </w:tc>
      </w:tr>
      <w:tr>
        <w:trPr/>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Pendiente convexa</w:t>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0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1,50</w:t>
            </w:r>
          </w:p>
        </w:tc>
        <w:tc>
          <w:tcPr>
            <w:tcW w:w="5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5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1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283.05</w:t>
            </w:r>
          </w:p>
        </w:tc>
      </w:tr>
      <w:tr>
        <w:trPr/>
        <w:tc>
          <w:tcPr>
            <w:tcW w:w="3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val="es-MX"/>
              </w:rPr>
            </w:pPr>
            <w:r>
              <w:rPr>
                <w:i/>
                <w:lang w:val="es-MX"/>
              </w:rPr>
              <w:t>Pendiente cóncava</w:t>
            </w:r>
          </w:p>
        </w:tc>
        <w:tc>
          <w:tcPr>
            <w:tcW w:w="9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08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0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1,12</w:t>
            </w:r>
          </w:p>
        </w:tc>
        <w:tc>
          <w:tcPr>
            <w:tcW w:w="5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5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1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211.34</w:t>
            </w:r>
          </w:p>
        </w:tc>
      </w:tr>
    </w:tbl>
    <w:p>
      <w:pPr>
        <w:pStyle w:val="Ttulo3"/>
        <w:numPr>
          <w:ilvl w:val="0"/>
          <w:numId w:val="5"/>
        </w:numPr>
        <w:ind w:left="1287" w:firstLine="567"/>
        <w:rPr/>
      </w:pPr>
      <w:bookmarkStart w:id="28" w:name="_Toc494448782"/>
      <w:r>
        <w:rPr/>
        <w:t>Compare las tres situaciones y saque conclusiones</w:t>
      </w:r>
      <w:bookmarkEnd w:id="28"/>
    </w:p>
    <w:p>
      <w:pPr>
        <w:pStyle w:val="Normal"/>
        <w:rPr>
          <w:color w:val="FF0000"/>
        </w:rPr>
      </w:pPr>
      <w:r>
        <w:rPr>
          <w:color w:val="FF0000"/>
        </w:rPr>
        <w:t>Para una misma longitud y grado de pendiente la forma cóncava presenta una menor pérdida de suelo respecto a las otras dos, pues en el tramo inferior de la misma el gradiente resulta menor. Contrariamente la forma convexa resulta la de mayor pérdida pues en el tramo inferior de la pendiente se localizan los mayores gradientes respecto a las otras dos. La pendiente uniforme presenta en dicho tramo una situación intermedia.</w:t>
      </w:r>
    </w:p>
    <w:p>
      <w:pPr>
        <w:pStyle w:val="Ttulo2"/>
        <w:rPr/>
      </w:pPr>
      <w:bookmarkStart w:id="29" w:name="_Toc494448990"/>
      <w:bookmarkStart w:id="30" w:name="_Toc494448783"/>
      <w:r>
        <w:rPr/>
        <w:t>FACTOR CULTIVO Y MANEJO (C)</w:t>
      </w:r>
      <w:bookmarkEnd w:id="29"/>
      <w:bookmarkEnd w:id="30"/>
    </w:p>
    <w:p>
      <w:pPr>
        <w:pStyle w:val="Normal"/>
        <w:rPr/>
      </w:pPr>
      <w:r>
        <w:rPr/>
        <w:t xml:space="preserve">Involucra todos los aspectos más importantes sobre los cuales el hombre puede actuar para reducir la erosión. Todas las prácticas de uso y manejo que se relacionan con el factor C tienen como objetivo desactivar la energía de la gota de lluvia que cae sobre la superficie del suelo, lo que significa frenar el proceso </w:t>
      </w:r>
    </w:p>
    <w:p>
      <w:pPr>
        <w:pStyle w:val="Normal"/>
        <w:rPr/>
      </w:pPr>
      <w:r>
        <w:rPr/>
        <w:t xml:space="preserve">Existen tabulaciones para valores de C en áreas boscosas de ciertas características: i) terrenos forestales inalterados ii) terrenos forestales empleados para pastoreo, quemados o cosechados de manera selectiva y iii) terrenos forestales que han tenido labores de preparación de sitio post-cosecha y están en vías o han sido recientemente restablecidos. </w:t>
      </w:r>
    </w:p>
    <w:p>
      <w:pPr>
        <w:pStyle w:val="Normal"/>
        <w:rPr/>
      </w:pPr>
      <w:r>
        <w:rPr/>
      </w:r>
    </w:p>
    <w:p>
      <w:pPr>
        <w:pStyle w:val="Normal"/>
        <w:rPr/>
      </w:pPr>
      <w:r>
        <w:rPr/>
        <w:t>Tabla 4. Factor C para terrenos forestales inalterados</w:t>
      </w:r>
    </w:p>
    <w:tbl>
      <w:tblPr>
        <w:tblW w:w="7058" w:type="dxa"/>
        <w:jc w:val="center"/>
        <w:tblInd w:w="0" w:type="dxa"/>
        <w:tblBorders>
          <w:bottom w:val="single" w:sz="4" w:space="0" w:color="000000"/>
          <w:insideH w:val="single" w:sz="4" w:space="0" w:color="000000"/>
        </w:tblBorders>
        <w:tblCellMar>
          <w:top w:w="0" w:type="dxa"/>
          <w:left w:w="108" w:type="dxa"/>
          <w:bottom w:w="0" w:type="dxa"/>
          <w:right w:w="108" w:type="dxa"/>
        </w:tblCellMar>
        <w:tblLook w:val="00a0"/>
      </w:tblPr>
      <w:tblGrid>
        <w:gridCol w:w="2708"/>
        <w:gridCol w:w="2428"/>
        <w:gridCol w:w="1922"/>
      </w:tblGrid>
      <w:tr>
        <w:trPr/>
        <w:tc>
          <w:tcPr>
            <w:tcW w:w="2708" w:type="dxa"/>
            <w:tcBorders>
              <w:bottom w:val="single" w:sz="4" w:space="0" w:color="000000"/>
              <w:insideH w:val="single" w:sz="4" w:space="0" w:color="000000"/>
            </w:tcBorders>
            <w:shd w:fill="auto" w:val="clear"/>
            <w:vAlign w:val="center"/>
          </w:tcPr>
          <w:p>
            <w:pPr>
              <w:pStyle w:val="TablaImagenes"/>
              <w:spacing w:lineRule="auto" w:line="276"/>
              <w:rPr>
                <w:b/>
                <w:b/>
                <w:lang w:eastAsia="en-US"/>
              </w:rPr>
            </w:pPr>
            <w:r>
              <w:rPr>
                <w:b/>
                <w:szCs w:val="22"/>
                <w:lang w:eastAsia="en-US"/>
              </w:rPr>
              <w:t>Porcentaje de cobertura de</w:t>
              <w:br/>
              <w:t>árboles y sotobosque</w:t>
            </w:r>
          </w:p>
        </w:tc>
        <w:tc>
          <w:tcPr>
            <w:tcW w:w="2428" w:type="dxa"/>
            <w:tcBorders>
              <w:bottom w:val="single" w:sz="4" w:space="0" w:color="000000"/>
              <w:insideH w:val="single" w:sz="4" w:space="0" w:color="000000"/>
            </w:tcBorders>
            <w:shd w:fill="auto" w:val="clear"/>
            <w:vAlign w:val="center"/>
          </w:tcPr>
          <w:p>
            <w:pPr>
              <w:pStyle w:val="TablaImagenes"/>
              <w:spacing w:lineRule="auto" w:line="276"/>
              <w:rPr>
                <w:b/>
                <w:b/>
                <w:lang w:eastAsia="en-US"/>
              </w:rPr>
            </w:pPr>
            <w:r>
              <w:rPr>
                <w:b/>
                <w:szCs w:val="22"/>
                <w:lang w:eastAsia="en-US"/>
              </w:rPr>
              <w:t>Porcentaje de cobertura</w:t>
              <w:br/>
              <w:t>de la hojarasca</w:t>
            </w:r>
          </w:p>
        </w:tc>
        <w:tc>
          <w:tcPr>
            <w:tcW w:w="1922" w:type="dxa"/>
            <w:tcBorders>
              <w:bottom w:val="single" w:sz="4" w:space="0" w:color="000000"/>
              <w:insideH w:val="single" w:sz="4" w:space="0" w:color="000000"/>
            </w:tcBorders>
            <w:shd w:fill="auto" w:val="clear"/>
            <w:vAlign w:val="center"/>
          </w:tcPr>
          <w:p>
            <w:pPr>
              <w:pStyle w:val="TablaImagenes"/>
              <w:spacing w:lineRule="auto" w:line="276"/>
              <w:rPr>
                <w:b/>
                <w:b/>
                <w:lang w:eastAsia="en-US"/>
              </w:rPr>
            </w:pPr>
            <w:r>
              <w:rPr>
                <w:b/>
                <w:szCs w:val="22"/>
                <w:lang w:eastAsia="en-US"/>
              </w:rPr>
              <w:t>Factor C</w:t>
            </w:r>
          </w:p>
        </w:tc>
      </w:tr>
      <w:tr>
        <w:trPr/>
        <w:tc>
          <w:tcPr>
            <w:tcW w:w="270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r>
              <w:rPr>
                <w:szCs w:val="22"/>
                <w:lang w:eastAsia="en-US"/>
              </w:rPr>
              <w:t>100 – 75</w:t>
            </w:r>
          </w:p>
        </w:tc>
        <w:tc>
          <w:tcPr>
            <w:tcW w:w="242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r>
              <w:rPr>
                <w:szCs w:val="22"/>
                <w:lang w:eastAsia="en-US"/>
              </w:rPr>
              <w:t>100 – 90</w:t>
            </w:r>
          </w:p>
        </w:tc>
        <w:tc>
          <w:tcPr>
            <w:tcW w:w="1922"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r>
              <w:rPr>
                <w:szCs w:val="22"/>
                <w:lang w:eastAsia="en-US"/>
              </w:rPr>
              <w:t>0,0001 – 0.001</w:t>
            </w:r>
          </w:p>
        </w:tc>
      </w:tr>
      <w:tr>
        <w:trPr/>
        <w:tc>
          <w:tcPr>
            <w:tcW w:w="270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r>
              <w:rPr>
                <w:szCs w:val="22"/>
                <w:lang w:eastAsia="en-US"/>
              </w:rPr>
              <w:t>75 – 45</w:t>
            </w:r>
          </w:p>
        </w:tc>
        <w:tc>
          <w:tcPr>
            <w:tcW w:w="242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r>
              <w:rPr>
                <w:szCs w:val="22"/>
                <w:lang w:eastAsia="en-US"/>
              </w:rPr>
              <w:t xml:space="preserve">85 – 75 </w:t>
            </w:r>
          </w:p>
        </w:tc>
        <w:tc>
          <w:tcPr>
            <w:tcW w:w="1922"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rPr>
                <w:lang w:eastAsia="en-US"/>
              </w:rPr>
            </w:pPr>
            <w:commentRangeStart w:id="29"/>
            <w:r>
              <w:rPr>
                <w:szCs w:val="22"/>
                <w:lang w:eastAsia="en-US"/>
              </w:rPr>
              <w:t>0,0020 – 0,004</w:t>
            </w:r>
            <w:commentRangeEnd w:id="29"/>
            <w:r>
              <w:commentReference w:id="29"/>
            </w:r>
            <w:r>
              <w:rPr>
                <w:szCs w:val="22"/>
                <w:lang w:eastAsia="en-US"/>
              </w:rPr>
            </w:r>
          </w:p>
        </w:tc>
      </w:tr>
      <w:tr>
        <w:trPr/>
        <w:tc>
          <w:tcPr>
            <w:tcW w:w="2708" w:type="dxa"/>
            <w:tcBorders>
              <w:top w:val="single" w:sz="4" w:space="0" w:color="000000"/>
            </w:tcBorders>
            <w:shd w:fill="auto" w:val="clear"/>
            <w:vAlign w:val="center"/>
          </w:tcPr>
          <w:p>
            <w:pPr>
              <w:pStyle w:val="TablaImagenes"/>
              <w:spacing w:lineRule="auto" w:line="276"/>
              <w:rPr>
                <w:lang w:eastAsia="en-US"/>
              </w:rPr>
            </w:pPr>
            <w:r>
              <w:rPr>
                <w:szCs w:val="22"/>
                <w:lang w:eastAsia="en-US"/>
              </w:rPr>
              <w:t>40 – 20</w:t>
            </w:r>
          </w:p>
        </w:tc>
        <w:tc>
          <w:tcPr>
            <w:tcW w:w="2428" w:type="dxa"/>
            <w:tcBorders>
              <w:top w:val="single" w:sz="4" w:space="0" w:color="000000"/>
            </w:tcBorders>
            <w:shd w:fill="auto" w:val="clear"/>
            <w:vAlign w:val="center"/>
          </w:tcPr>
          <w:p>
            <w:pPr>
              <w:pStyle w:val="TablaImagenes"/>
              <w:spacing w:lineRule="auto" w:line="276"/>
              <w:rPr>
                <w:lang w:eastAsia="en-US"/>
              </w:rPr>
            </w:pPr>
            <w:r>
              <w:rPr>
                <w:szCs w:val="22"/>
                <w:lang w:eastAsia="en-US"/>
              </w:rPr>
              <w:t>70 – 40</w:t>
            </w:r>
          </w:p>
        </w:tc>
        <w:tc>
          <w:tcPr>
            <w:tcW w:w="1922" w:type="dxa"/>
            <w:tcBorders>
              <w:top w:val="single" w:sz="4" w:space="0" w:color="000000"/>
            </w:tcBorders>
            <w:shd w:fill="auto" w:val="clear"/>
            <w:vAlign w:val="center"/>
          </w:tcPr>
          <w:p>
            <w:pPr>
              <w:pStyle w:val="TablaImagenes"/>
              <w:spacing w:lineRule="auto" w:line="276"/>
              <w:rPr>
                <w:lang w:eastAsia="en-US"/>
              </w:rPr>
            </w:pPr>
            <w:r>
              <w:rPr>
                <w:szCs w:val="22"/>
                <w:lang w:eastAsia="en-US"/>
              </w:rPr>
              <w:t>0,0030 – 0,009</w:t>
            </w:r>
          </w:p>
        </w:tc>
      </w:tr>
    </w:tbl>
    <w:p>
      <w:pPr>
        <w:pStyle w:val="Normal"/>
        <w:rPr/>
      </w:pPr>
      <w:r>
        <w:rPr/>
      </w:r>
    </w:p>
    <w:p>
      <w:pPr>
        <w:pStyle w:val="Normal"/>
        <w:rPr/>
      </w:pPr>
      <w:r>
        <w:rPr/>
        <w:t xml:space="preserve">Tabla 5: Factor C para praderas permanentes, terrenos baldíos </w:t>
      </w:r>
      <w:r>
        <w:rPr>
          <w:highlight w:val="yellow"/>
        </w:rPr>
        <w:t>y bosques pastoreados</w:t>
      </w:r>
    </w:p>
    <w:tbl>
      <w:tblPr>
        <w:tblW w:w="99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600"/>
      </w:tblPr>
      <w:tblGrid>
        <w:gridCol w:w="4550"/>
        <w:gridCol w:w="482"/>
        <w:gridCol w:w="655"/>
        <w:gridCol w:w="648"/>
        <w:gridCol w:w="647"/>
        <w:gridCol w:w="648"/>
        <w:gridCol w:w="759"/>
        <w:gridCol w:w="759"/>
        <w:gridCol w:w="770"/>
      </w:tblGrid>
      <w:tr>
        <w:trPr>
          <w:tblHeader w:val="true"/>
          <w:trHeight w:val="312" w:hRule="atLeast"/>
          <w:cantSplit w:val="true"/>
        </w:trPr>
        <w:tc>
          <w:tcPr>
            <w:tcW w:w="50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COBERTURA AÉREA</w:t>
            </w:r>
          </w:p>
        </w:tc>
        <w:tc>
          <w:tcPr>
            <w:tcW w:w="488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Cubierta superficial en contacto con el terreno</w:t>
              <w:br/>
              <w:t>(% de suelo cubierto)</w:t>
            </w:r>
          </w:p>
        </w:tc>
      </w:tr>
      <w:tr>
        <w:trPr>
          <w:tblHeader w:val="true"/>
          <w:trHeight w:val="312" w:hRule="atLeast"/>
          <w:cantSplit w:val="true"/>
        </w:trPr>
        <w:tc>
          <w:tcPr>
            <w:tcW w:w="4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Tipo y Altura</w:t>
            </w:r>
          </w:p>
        </w:tc>
        <w:tc>
          <w:tcPr>
            <w:tcW w:w="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Tipo</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0</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20</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40</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highlight w:val="yellow"/>
                <w:lang w:eastAsia="en-US"/>
              </w:rPr>
              <w:t>60</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80</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95+</w:t>
            </w:r>
          </w:p>
        </w:tc>
      </w:tr>
      <w:tr>
        <w:trPr>
          <w:tblHeader w:val="true"/>
          <w:trHeight w:val="312" w:hRule="atLeast"/>
          <w:cantSplit w:val="true"/>
        </w:trPr>
        <w:tc>
          <w:tcPr>
            <w:tcW w:w="503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No apreciable</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0,45</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0,042</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50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0,45</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0,24</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0,91</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Herbáceas, pastos largos o matorral con altura media de caída de gotas menos a 0,90 metros</w:t>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0,13</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0,083</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0,041</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50</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0,13</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0,035</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0,16</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0,076</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0,039</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75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0,032</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0,038</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Arbustos o matorrales, con altura media de caída de togas de 1,95 metros</w:t>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0,40</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0,18</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0,22</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0,087</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50</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0,34</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0,16</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0,34</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0,13</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0,082</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0,041</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75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0,28</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0,036</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0,28</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0,078</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0,040</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highlight w:val="yellow"/>
                <w:lang w:eastAsia="en-US"/>
              </w:rPr>
              <w:t>Árboles, pero sin apreciable cubierta arbustiva o de matorral. Altura media de caída de gotas de 4 metros</w:t>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0,42</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0,19</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0,041</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0,42</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0,23</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highlight w:val="yellow"/>
                <w:lang w:eastAsia="en-US"/>
              </w:rPr>
              <w:t>50</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highlight w:val="yellow"/>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0,39</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0,18</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highlight w:val="yellow"/>
                <w:lang w:eastAsia="en-US"/>
              </w:rPr>
              <w:t>0,040</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0,39</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0,21</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0,087</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4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75</w:t>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G</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0,039</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0,013</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0,003</w:t>
            </w:r>
          </w:p>
        </w:tc>
      </w:tr>
      <w:tr>
        <w:trPr>
          <w:tblHeader w:val="true"/>
          <w:trHeight w:val="312" w:hRule="atLeast"/>
          <w:cantSplit w:val="true"/>
        </w:trPr>
        <w:tc>
          <w:tcPr>
            <w:tcW w:w="4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4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W</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0,36</w:t>
            </w:r>
          </w:p>
        </w:tc>
        <w:tc>
          <w:tcPr>
            <w:tcW w:w="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6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0,13</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0,084</w:t>
            </w:r>
          </w:p>
        </w:tc>
        <w:tc>
          <w:tcPr>
            <w:tcW w:w="7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0,042</w:t>
            </w:r>
          </w:p>
        </w:tc>
        <w:tc>
          <w:tcPr>
            <w:tcW w:w="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0,011</w:t>
            </w:r>
          </w:p>
        </w:tc>
      </w:tr>
      <w:tr>
        <w:trPr>
          <w:tblHeader w:val="true"/>
          <w:trHeight w:val="312" w:hRule="atLeast"/>
          <w:cantSplit w:val="true"/>
        </w:trPr>
        <w:tc>
          <w:tcPr>
            <w:tcW w:w="991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 w:val="20"/>
                <w:szCs w:val="22"/>
                <w:lang w:eastAsia="en-US"/>
              </w:rPr>
              <w:t>G= Cubierta superficial está compuesta por pasto o material en descomposición</w:t>
              <w:br/>
              <w:t>W= La cubierta superficial está compuesta de herbáceas con poca cobertura radicular o residuos no descompuestos</w:t>
            </w:r>
          </w:p>
        </w:tc>
      </w:tr>
    </w:tbl>
    <w:p>
      <w:pPr>
        <w:pStyle w:val="Normal"/>
        <w:rPr/>
      </w:pPr>
      <w:r>
        <w:rPr/>
      </w:r>
    </w:p>
    <w:p>
      <w:pPr>
        <w:pStyle w:val="Normal"/>
        <w:spacing w:before="0" w:after="0"/>
        <w:ind w:hanging="0"/>
        <w:jc w:val="left"/>
        <w:rPr/>
      </w:pPr>
      <w:r>
        <w:rPr/>
      </w:r>
      <w:r>
        <w:br w:type="page"/>
      </w:r>
    </w:p>
    <w:p>
      <w:pPr>
        <w:pStyle w:val="Normal"/>
        <w:rPr/>
      </w:pPr>
      <w:r>
        <w:rPr/>
      </w:r>
    </w:p>
    <w:p>
      <w:pPr>
        <w:pStyle w:val="Normal"/>
        <w:spacing w:before="0" w:after="0"/>
        <w:ind w:hanging="0"/>
        <w:jc w:val="left"/>
        <w:rPr/>
      </w:pPr>
      <w:r>
        <w:rPr/>
        <w:t>Tabla 6: Factor C en área de bosque alterada mecánicamente o con métodos de preparación de sitio</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1892"/>
        <w:gridCol w:w="1612"/>
        <w:gridCol w:w="764"/>
        <w:gridCol w:w="832"/>
        <w:gridCol w:w="723"/>
        <w:gridCol w:w="790"/>
        <w:gridCol w:w="723"/>
        <w:gridCol w:w="790"/>
        <w:gridCol w:w="723"/>
        <w:gridCol w:w="788"/>
      </w:tblGrid>
      <w:tr>
        <w:trPr>
          <w:trHeight w:val="309" w:hRule="atLeast"/>
        </w:trPr>
        <w:tc>
          <w:tcPr>
            <w:tcW w:w="18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Preparación</w:t>
              <w:br/>
              <w:t>del sitio</w:t>
            </w:r>
          </w:p>
        </w:tc>
        <w:tc>
          <w:tcPr>
            <w:tcW w:w="16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 xml:space="preserve">Cobertura </w:t>
              <w:br/>
              <w:t>del Mulch</w:t>
            </w:r>
          </w:p>
        </w:tc>
        <w:tc>
          <w:tcPr>
            <w:tcW w:w="6133"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Condición del suelo y cobertura de malezas</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59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Excelente</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Buena</w:t>
            </w:r>
          </w:p>
        </w:tc>
        <w:tc>
          <w:tcPr>
            <w:tcW w:w="15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Regular</w:t>
            </w:r>
          </w:p>
        </w:tc>
        <w:tc>
          <w:tcPr>
            <w:tcW w:w="15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szCs w:val="22"/>
                <w:lang w:eastAsia="en-US"/>
              </w:rPr>
              <w:t>Mala</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NC</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WC</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NC</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WC</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NC</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WC</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NC</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WC</w:t>
            </w:r>
          </w:p>
        </w:tc>
      </w:tr>
      <w:tr>
        <w:trPr>
          <w:trHeight w:val="309" w:hRule="atLeast"/>
        </w:trPr>
        <w:tc>
          <w:tcPr>
            <w:tcW w:w="18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Discado,</w:t>
              <w:br/>
              <w:t xml:space="preserve">rastrillado o </w:t>
              <w:br/>
              <w:t xml:space="preserve">preparado para </w:t>
              <w:br/>
              <w:t>semillas</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0,52</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0,72</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0,85</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0,32</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0,94</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0,36</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10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0,33</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0,54</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0,60</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0,26</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0,24</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0,34</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0,44</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0,22</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40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0,23</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0,27</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0,30</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0,19</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60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0,18</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80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r>
      <w:tr>
        <w:trPr>
          <w:trHeight w:val="309" w:hRule="atLeast"/>
        </w:trPr>
        <w:tc>
          <w:tcPr>
            <w:tcW w:w="18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highlight w:val="yellow"/>
                <w:lang w:eastAsia="en-US"/>
              </w:rPr>
              <w:t>Quemas</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0,25</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0,31</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0,45</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highlight w:val="yellow"/>
                <w:lang w:eastAsia="en-US"/>
              </w:rPr>
              <w:t>10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0,23</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0,24</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highlight w:val="yellow"/>
                <w:lang w:eastAsia="en-US"/>
              </w:rPr>
              <w:t>0,36</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0,16</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0,19</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0,19</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0,21</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0,27</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40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60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80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r>
      <w:tr>
        <w:trPr>
          <w:trHeight w:val="309" w:hRule="atLeast"/>
        </w:trPr>
        <w:tc>
          <w:tcPr>
            <w:tcW w:w="18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szCs w:val="22"/>
                <w:lang w:eastAsia="en-US"/>
              </w:rPr>
              <w:t xml:space="preserve">Trituración de </w:t>
              <w:br/>
              <w:t>residuos</w:t>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0,16</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0,29</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10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0,15</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0,17</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0,08</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0,23</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20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0,12</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0,14</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0,18</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40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0,09</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0,10</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0,11</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60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0,06</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0,07</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0,05</w:t>
            </w:r>
          </w:p>
        </w:tc>
      </w:tr>
      <w:tr>
        <w:trPr>
          <w:trHeight w:val="309" w:hRule="atLeast"/>
        </w:trPr>
        <w:tc>
          <w:tcPr>
            <w:tcW w:w="18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16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Cs w:val="22"/>
                <w:lang w:eastAsia="en-US"/>
              </w:rPr>
              <w:t>80</w:t>
            </w:r>
          </w:p>
        </w:tc>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8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0,03</w:t>
            </w:r>
          </w:p>
        </w:tc>
        <w:tc>
          <w:tcPr>
            <w:tcW w:w="7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szCs w:val="22"/>
                <w:lang w:eastAsia="en-US"/>
              </w:rPr>
              <w:t>0,04</w:t>
            </w:r>
          </w:p>
        </w:tc>
      </w:tr>
      <w:tr>
        <w:trPr>
          <w:trHeight w:val="309" w:hRule="atLeast"/>
        </w:trPr>
        <w:tc>
          <w:tcPr>
            <w:tcW w:w="9637"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sz w:val="20"/>
                <w:szCs w:val="22"/>
                <w:highlight w:val="yellow"/>
                <w:lang w:eastAsia="en-US"/>
              </w:rPr>
              <w:t>NC</w:t>
            </w:r>
            <w:r>
              <w:rPr>
                <w:i/>
                <w:sz w:val="20"/>
                <w:szCs w:val="22"/>
                <w:lang w:eastAsia="en-US"/>
              </w:rPr>
              <w:t>= sin vegetación viva; WC= con un 75% de pasto y malezas, implicando una altura media de goteo de 1,27 metros</w:t>
            </w:r>
          </w:p>
        </w:tc>
      </w:tr>
    </w:tbl>
    <w:p>
      <w:pPr>
        <w:pStyle w:val="Normal"/>
        <w:jc w:val="center"/>
        <w:rPr>
          <w:rFonts w:cs="Arial"/>
          <w:bCs/>
        </w:rPr>
      </w:pPr>
      <w:r>
        <w:rPr>
          <w:rFonts w:cs="Arial"/>
          <w:bCs/>
        </w:rPr>
      </w:r>
    </w:p>
    <w:p>
      <w:pPr>
        <w:pStyle w:val="Ttulo3"/>
        <w:numPr>
          <w:ilvl w:val="0"/>
          <w:numId w:val="5"/>
        </w:numPr>
        <w:ind w:left="1287" w:firstLine="567"/>
        <w:rPr/>
      </w:pPr>
      <w:bookmarkStart w:id="31" w:name="_Toc494448784"/>
      <w:r>
        <w:rPr/>
        <w:t>Calcule la pérdida de suelo en un lote ubicado en la localidad de Pergamino, Serie Arroyo Dulce (Perfil 1), de 200 metros de longitud y 2% de pendiente, bajo diferentes situaciones de manejo:</w:t>
      </w:r>
      <w:bookmarkEnd w:id="31"/>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35"/>
        <w:gridCol w:w="839"/>
        <w:gridCol w:w="1131"/>
        <w:gridCol w:w="935"/>
        <w:gridCol w:w="2533"/>
        <w:gridCol w:w="455"/>
        <w:gridCol w:w="2009"/>
      </w:tblGrid>
      <w:tr>
        <w:trPr>
          <w:trHeight w:val="57" w:hRule="atLeast"/>
        </w:trPr>
        <w:tc>
          <w:tcPr>
            <w:tcW w:w="1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Situación</w:t>
            </w:r>
          </w:p>
        </w:tc>
        <w:tc>
          <w:tcPr>
            <w:tcW w:w="8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R</w:t>
            </w:r>
          </w:p>
        </w:tc>
        <w:tc>
          <w:tcPr>
            <w:tcW w:w="1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K</w:t>
            </w:r>
          </w:p>
        </w:tc>
        <w:tc>
          <w:tcPr>
            <w:tcW w:w="9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LS</w:t>
            </w:r>
          </w:p>
        </w:tc>
        <w:tc>
          <w:tcPr>
            <w:tcW w:w="2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C</w:t>
            </w:r>
          </w:p>
        </w:tc>
        <w:tc>
          <w:tcPr>
            <w:tcW w:w="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P</w:t>
            </w:r>
          </w:p>
        </w:tc>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s-MX"/>
              </w:rPr>
            </w:pPr>
            <w:r>
              <w:rPr>
                <w:b/>
                <w:lang w:val="es-MX"/>
              </w:rPr>
              <w:t>A</w:t>
            </w:r>
          </w:p>
          <w:p>
            <w:pPr>
              <w:pStyle w:val="TablaImagenes"/>
              <w:rPr>
                <w:b/>
                <w:b/>
                <w:lang w:val="es-MX"/>
              </w:rPr>
            </w:pPr>
            <w:r>
              <w:rPr>
                <w:b/>
                <w:lang w:val="es-MX"/>
              </w:rPr>
              <w:t>(t ha año</w:t>
            </w:r>
            <w:r>
              <w:rPr>
                <w:b/>
                <w:vertAlign w:val="superscript"/>
                <w:lang w:val="es-MX"/>
              </w:rPr>
              <w:t>-1</w:t>
            </w:r>
            <w:r>
              <w:rPr>
                <w:b/>
                <w:lang w:val="es-MX"/>
              </w:rPr>
              <w:t>)</w:t>
            </w:r>
          </w:p>
        </w:tc>
      </w:tr>
      <w:tr>
        <w:trPr>
          <w:trHeight w:val="57" w:hRule="atLeast"/>
        </w:trPr>
        <w:tc>
          <w:tcPr>
            <w:tcW w:w="1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A</w:t>
            </w:r>
          </w:p>
        </w:tc>
        <w:tc>
          <w:tcPr>
            <w:tcW w:w="83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473</w:t>
            </w:r>
          </w:p>
        </w:tc>
        <w:tc>
          <w:tcPr>
            <w:tcW w:w="11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0,399</w:t>
            </w:r>
          </w:p>
        </w:tc>
        <w:tc>
          <w:tcPr>
            <w:tcW w:w="9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0,35</w:t>
            </w:r>
          </w:p>
        </w:tc>
        <w:tc>
          <w:tcPr>
            <w:tcW w:w="2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0,003 (tabla 4)</w:t>
            </w:r>
          </w:p>
        </w:tc>
        <w:tc>
          <w:tcPr>
            <w:tcW w:w="4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1</w:t>
            </w:r>
          </w:p>
        </w:tc>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hanging="0"/>
              <w:jc w:val="center"/>
              <w:rPr>
                <w:color w:val="FF0000"/>
              </w:rPr>
            </w:pPr>
            <w:r>
              <w:rPr>
                <w:color w:val="FF0000"/>
                <w:szCs w:val="22"/>
                <w:lang w:val="es-MX"/>
              </w:rPr>
              <w:t>0,198</w:t>
            </w:r>
          </w:p>
        </w:tc>
      </w:tr>
      <w:tr>
        <w:trPr>
          <w:trHeight w:val="57" w:hRule="atLeast"/>
        </w:trPr>
        <w:tc>
          <w:tcPr>
            <w:tcW w:w="1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B</w:t>
            </w:r>
          </w:p>
        </w:tc>
        <w:tc>
          <w:tcPr>
            <w:tcW w:w="83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1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9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2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0,04 (tabla 5)</w:t>
            </w:r>
          </w:p>
        </w:tc>
        <w:tc>
          <w:tcPr>
            <w:tcW w:w="4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hanging="0"/>
              <w:jc w:val="center"/>
              <w:rPr>
                <w:color w:val="FF0000"/>
              </w:rPr>
            </w:pPr>
            <w:r>
              <w:rPr>
                <w:color w:val="FF0000"/>
                <w:szCs w:val="22"/>
                <w:lang w:val="es-MX"/>
              </w:rPr>
              <w:t>2,64</w:t>
            </w:r>
          </w:p>
        </w:tc>
      </w:tr>
      <w:tr>
        <w:trPr>
          <w:trHeight w:val="57" w:hRule="atLeast"/>
        </w:trPr>
        <w:tc>
          <w:tcPr>
            <w:tcW w:w="1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C</w:t>
            </w:r>
          </w:p>
        </w:tc>
        <w:tc>
          <w:tcPr>
            <w:tcW w:w="83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1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9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2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0,36 (tabla 6)</w:t>
            </w:r>
          </w:p>
        </w:tc>
        <w:tc>
          <w:tcPr>
            <w:tcW w:w="4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hanging="0"/>
              <w:jc w:val="center"/>
              <w:rPr>
                <w:color w:val="FF0000"/>
              </w:rPr>
            </w:pPr>
            <w:r>
              <w:rPr>
                <w:color w:val="FF0000"/>
                <w:szCs w:val="22"/>
                <w:lang w:val="es-MX"/>
              </w:rPr>
              <w:t>23,77</w:t>
            </w:r>
          </w:p>
        </w:tc>
      </w:tr>
      <w:tr>
        <w:trPr>
          <w:trHeight w:val="57" w:hRule="atLeast"/>
        </w:trPr>
        <w:tc>
          <w:tcPr>
            <w:tcW w:w="1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t>D</w:t>
            </w:r>
          </w:p>
        </w:tc>
        <w:tc>
          <w:tcPr>
            <w:tcW w:w="83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11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9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val="es-MX"/>
              </w:rPr>
            </w:pPr>
            <w:r>
              <w:rPr>
                <w:lang w:val="es-MX"/>
              </w:rPr>
            </w:r>
          </w:p>
        </w:tc>
        <w:tc>
          <w:tcPr>
            <w:tcW w:w="25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0,45</w:t>
            </w:r>
          </w:p>
        </w:tc>
        <w:tc>
          <w:tcPr>
            <w:tcW w:w="4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r>
          </w:p>
        </w:tc>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hanging="0"/>
              <w:jc w:val="center"/>
              <w:rPr>
                <w:color w:val="FF0000"/>
              </w:rPr>
            </w:pPr>
            <w:r>
              <w:rPr>
                <w:color w:val="FF0000"/>
                <w:szCs w:val="22"/>
                <w:lang w:val="es-MX"/>
              </w:rPr>
              <w:t>29,77</w:t>
            </w:r>
          </w:p>
        </w:tc>
      </w:tr>
    </w:tbl>
    <w:p>
      <w:pPr>
        <w:pStyle w:val="Normal"/>
        <w:spacing w:before="0" w:after="0"/>
        <w:rPr/>
      </w:pPr>
      <w:r>
        <w:rPr>
          <w:b/>
        </w:rPr>
        <w:t>Situación A:</w:t>
      </w:r>
      <w:r>
        <w:rPr/>
        <w:t xml:space="preserve"> Bosque nativo, 50% de cobertura de copas y 80% de cobertura de hojarasca, </w:t>
      </w:r>
      <w:commentRangeStart w:id="30"/>
      <w:r>
        <w:rPr/>
        <w:t>laboreo a favor de la pendiente.</w:t>
      </w:r>
      <w:commentRangeEnd w:id="30"/>
      <w:r>
        <w:commentReference w:id="30"/>
      </w:r>
      <w:r>
        <w:rPr/>
      </w:r>
    </w:p>
    <w:p>
      <w:pPr>
        <w:pStyle w:val="Normal"/>
        <w:spacing w:before="0" w:after="0"/>
        <w:rPr/>
      </w:pPr>
      <w:r>
        <w:rPr>
          <w:b/>
        </w:rPr>
        <w:t>Situación B:</w:t>
      </w:r>
      <w:r>
        <w:rPr/>
        <w:t xml:space="preserve"> Sistema silvopastoril, 50% cobertura, altura media de los árboles 4 m, cubierta superficial de pastos y 60% de cubierta superficial en contacto con el suelo., laboreo a favor de la pendiente. </w:t>
      </w:r>
    </w:p>
    <w:p>
      <w:pPr>
        <w:pStyle w:val="Normal"/>
        <w:spacing w:before="0" w:after="0"/>
        <w:rPr/>
      </w:pPr>
      <w:r>
        <w:rPr>
          <w:b/>
        </w:rPr>
        <w:t>Situación C:</w:t>
      </w:r>
      <w:r>
        <w:rPr/>
        <w:t xml:space="preserve"> Quema del sitio para implantación, con 10% de cobertura, pobre cobertura de malezas. Laboreo a favor de la pendiente.</w:t>
      </w:r>
    </w:p>
    <w:p>
      <w:pPr>
        <w:pStyle w:val="Normal"/>
        <w:spacing w:before="0" w:after="0"/>
        <w:rPr/>
      </w:pPr>
      <w:r>
        <w:rPr>
          <w:b/>
        </w:rPr>
        <w:t>Situación D</w:t>
      </w:r>
      <w:r>
        <w:rPr/>
        <w:t xml:space="preserve">: Lote cultivado con Soja (C=0,45). </w:t>
      </w:r>
      <w:commentRangeStart w:id="31"/>
      <w:r>
        <w:rPr/>
        <w:t>Laboreo a favor de la pendiente</w:t>
      </w:r>
      <w:r>
        <w:rPr/>
      </w:r>
      <w:commentRangeEnd w:id="31"/>
      <w:r>
        <w:commentReference w:id="31"/>
      </w:r>
      <w:r>
        <w:rPr/>
        <w:t>.</w:t>
      </w:r>
    </w:p>
    <w:p>
      <w:pPr>
        <w:pStyle w:val="Normal"/>
        <w:spacing w:before="0" w:after="0"/>
        <w:ind w:hanging="0"/>
        <w:jc w:val="left"/>
        <w:rPr/>
      </w:pPr>
      <w:r>
        <w:rPr/>
      </w:r>
      <w:bookmarkStart w:id="32" w:name="_Toc494448991"/>
      <w:bookmarkStart w:id="33" w:name="_Toc494448785"/>
      <w:bookmarkStart w:id="34" w:name="_Toc494448991"/>
      <w:bookmarkStart w:id="35" w:name="_Toc494448785"/>
      <w:r>
        <w:br w:type="page"/>
      </w:r>
    </w:p>
    <w:p>
      <w:pPr>
        <w:pStyle w:val="Ttulo2"/>
        <w:rPr/>
      </w:pPr>
      <w:bookmarkStart w:id="36" w:name="_Toc494448991"/>
      <w:bookmarkStart w:id="37" w:name="_Toc494448785"/>
      <w:r>
        <w:rPr/>
        <w:t>FACTOR PRáCTICAS CONSERVACIONISTAS (P)</w:t>
      </w:r>
      <w:bookmarkEnd w:id="36"/>
      <w:bookmarkEnd w:id="37"/>
    </w:p>
    <w:p>
      <w:pPr>
        <w:pStyle w:val="Normal"/>
        <w:rPr/>
      </w:pPr>
      <w:r>
        <w:rPr/>
        <w:t>Corresponde a las prácticas conservacionistas que actúan sobre el escurrimiento. Para que el valor de P sea igual a 1, se considera que el cultivo se realiza a favor de la pendiente.</w:t>
      </w:r>
    </w:p>
    <w:p>
      <w:pPr>
        <w:pStyle w:val="Normal"/>
        <w:rPr/>
      </w:pPr>
      <w:r>
        <w:rPr/>
        <w:t>Tabla 7: Factor P de Prácticas de conservación (Wischmeier y Smith, 1978)</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245"/>
        <w:gridCol w:w="927"/>
        <w:gridCol w:w="2684"/>
        <w:gridCol w:w="3781"/>
      </w:tblGrid>
      <w:tr>
        <w:trPr>
          <w:trHeight w:val="170" w:hRule="atLeast"/>
        </w:trPr>
        <w:tc>
          <w:tcPr>
            <w:tcW w:w="2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t>Pendiente (%)</w:t>
            </w:r>
          </w:p>
        </w:tc>
        <w:tc>
          <w:tcPr>
            <w:tcW w:w="361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t>Cultivo en contorno</w:t>
            </w:r>
          </w:p>
        </w:tc>
        <w:tc>
          <w:tcPr>
            <w:tcW w:w="3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eastAsia="en-US"/>
              </w:rPr>
            </w:pPr>
            <w:r>
              <w:rPr>
                <w:b/>
                <w:lang w:eastAsia="en-US"/>
              </w:rPr>
              <w:t xml:space="preserve">P para </w:t>
            </w:r>
            <w:r>
              <w:rPr>
                <w:b/>
                <w:highlight w:val="yellow"/>
                <w:lang w:eastAsia="en-US"/>
              </w:rPr>
              <w:t>cultivo</w:t>
            </w:r>
            <w:r>
              <w:rPr>
                <w:b/>
                <w:lang w:eastAsia="en-US"/>
              </w:rPr>
              <w:t xml:space="preserve"> en </w:t>
            </w:r>
            <w:commentRangeStart w:id="32"/>
            <w:r>
              <w:rPr>
                <w:b/>
                <w:lang w:eastAsia="en-US"/>
              </w:rPr>
              <w:t>terrazas</w:t>
            </w:r>
            <w:commentRangeEnd w:id="32"/>
            <w:r>
              <w:commentReference w:id="32"/>
            </w:r>
            <w:r>
              <w:rPr>
                <w:b/>
                <w:lang w:eastAsia="en-US"/>
              </w:rPr>
            </w:r>
          </w:p>
        </w:tc>
      </w:tr>
      <w:tr>
        <w:trPr>
          <w:trHeight w:val="170" w:hRule="atLeast"/>
        </w:trPr>
        <w:tc>
          <w:tcPr>
            <w:tcW w:w="2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t>P*</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lang w:eastAsia="en-US"/>
              </w:rPr>
            </w:pPr>
            <w:r>
              <w:rPr>
                <w:b/>
                <w:i/>
                <w:lang w:eastAsia="en-US"/>
              </w:rPr>
              <w:t xml:space="preserve">Longitud máxima </w:t>
              <w:br/>
              <w:t>de ladera (m)</w:t>
            </w:r>
          </w:p>
        </w:tc>
        <w:tc>
          <w:tcPr>
            <w:tcW w:w="3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1-2</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0,6</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122</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0,12</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3-5</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0,5</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91</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0,10</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6-8</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0,5</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61</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0,10</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9-12</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0,6</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37</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0,12</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13-16</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0,7</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24</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0,14</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17-20</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0,8</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18</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0,16</w:t>
            </w:r>
          </w:p>
        </w:tc>
      </w:tr>
      <w:tr>
        <w:trPr>
          <w:trHeight w:val="170" w:hRule="atLeast"/>
        </w:trPr>
        <w:tc>
          <w:tcPr>
            <w:tcW w:w="2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i/>
                <w:i/>
                <w:lang w:eastAsia="en-US"/>
              </w:rPr>
            </w:pPr>
            <w:r>
              <w:rPr>
                <w:i/>
                <w:lang w:eastAsia="en-US"/>
              </w:rPr>
              <w:t>21-25</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0,9</w:t>
            </w:r>
          </w:p>
        </w:tc>
        <w:tc>
          <w:tcPr>
            <w:tcW w:w="2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15</w:t>
            </w:r>
          </w:p>
        </w:tc>
        <w:tc>
          <w:tcPr>
            <w:tcW w:w="37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lang w:eastAsia="en-US"/>
              </w:rPr>
            </w:pPr>
            <w:r>
              <w:rPr>
                <w:lang w:eastAsia="en-US"/>
              </w:rPr>
              <w:t>0,18</w:t>
            </w:r>
          </w:p>
        </w:tc>
      </w:tr>
      <w:tr>
        <w:trPr>
          <w:trHeight w:val="170" w:hRule="atLeast"/>
        </w:trPr>
        <w:tc>
          <w:tcPr>
            <w:tcW w:w="963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i/>
                <w:i/>
                <w:sz w:val="20"/>
                <w:lang w:eastAsia="en-US"/>
              </w:rPr>
            </w:pPr>
            <w:r>
              <w:rPr>
                <w:b/>
                <w:i/>
                <w:sz w:val="20"/>
                <w:lang w:eastAsia="en-US"/>
              </w:rPr>
              <w:t>*Se pondera por 0.8 si se realizan contornos con pilas de residuos de la cosecha anterior</w:t>
            </w:r>
          </w:p>
        </w:tc>
      </w:tr>
    </w:tbl>
    <w:p>
      <w:pPr>
        <w:pStyle w:val="Normal"/>
        <w:rPr/>
      </w:pPr>
      <w:r>
        <w:rPr/>
      </w:r>
    </w:p>
    <w:p>
      <w:pPr>
        <w:pStyle w:val="Ttulo3"/>
        <w:numPr>
          <w:ilvl w:val="0"/>
          <w:numId w:val="5"/>
        </w:numPr>
        <w:ind w:left="1287" w:firstLine="567"/>
        <w:rPr/>
      </w:pPr>
      <w:bookmarkStart w:id="38" w:name="_Toc494448786"/>
      <w:r>
        <w:rPr/>
        <w:t>Sobre el mismo lote y con las mismas situaciones se realiza cultivo en contorno. Calcule la Pérdida de suelo. Utilice la Tabla 7.</w:t>
      </w:r>
      <w:bookmarkEnd w:id="38"/>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1722"/>
        <w:gridCol w:w="831"/>
        <w:gridCol w:w="927"/>
        <w:gridCol w:w="927"/>
        <w:gridCol w:w="2511"/>
        <w:gridCol w:w="730"/>
        <w:gridCol w:w="1989"/>
      </w:tblGrid>
      <w:tr>
        <w:trPr/>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Situación</w:t>
            </w:r>
          </w:p>
        </w:tc>
        <w:tc>
          <w:tcPr>
            <w:tcW w:w="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R</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K</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LS</w:t>
            </w:r>
          </w:p>
        </w:tc>
        <w:tc>
          <w:tcPr>
            <w:tcW w:w="2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C</w:t>
            </w:r>
          </w:p>
        </w:tc>
        <w:tc>
          <w:tcPr>
            <w:tcW w:w="7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P</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lang w:val="en-US"/>
              </w:rPr>
            </w:pPr>
            <w:r>
              <w:rPr>
                <w:b/>
                <w:lang w:val="en-US"/>
              </w:rPr>
              <w:t>A</w:t>
            </w:r>
          </w:p>
          <w:p>
            <w:pPr>
              <w:pStyle w:val="TablaImagenes"/>
              <w:rPr>
                <w:b/>
                <w:b/>
                <w:lang w:val="en-US"/>
              </w:rPr>
            </w:pPr>
            <w:r>
              <w:rPr>
                <w:b/>
                <w:lang w:val="es-MX"/>
              </w:rPr>
              <w:t>(t ha año</w:t>
            </w:r>
            <w:r>
              <w:rPr>
                <w:b/>
                <w:vertAlign w:val="superscript"/>
                <w:lang w:val="es-MX"/>
              </w:rPr>
              <w:t>-1</w:t>
            </w:r>
            <w:r>
              <w:rPr>
                <w:b/>
                <w:lang w:val="es-MX"/>
              </w:rPr>
              <w:t>)</w:t>
            </w:r>
          </w:p>
        </w:tc>
      </w:tr>
      <w:tr>
        <w:trPr/>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A</w:t>
            </w:r>
          </w:p>
        </w:tc>
        <w:tc>
          <w:tcPr>
            <w:tcW w:w="8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473</w:t>
            </w:r>
          </w:p>
        </w:tc>
        <w:tc>
          <w:tcPr>
            <w:tcW w:w="92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0.399</w:t>
            </w:r>
          </w:p>
        </w:tc>
        <w:tc>
          <w:tcPr>
            <w:tcW w:w="92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0,35</w:t>
            </w:r>
          </w:p>
        </w:tc>
        <w:tc>
          <w:tcPr>
            <w:tcW w:w="2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0,003 (tabla 4)</w:t>
            </w:r>
          </w:p>
        </w:tc>
        <w:tc>
          <w:tcPr>
            <w:tcW w:w="73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0,6</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ind w:hanging="0"/>
              <w:jc w:val="center"/>
              <w:rPr>
                <w:color w:val="FF0000"/>
              </w:rPr>
            </w:pPr>
            <w:r>
              <w:rPr>
                <w:color w:val="FF0000"/>
                <w:szCs w:val="22"/>
              </w:rPr>
              <w:t>0,118</w:t>
            </w:r>
          </w:p>
        </w:tc>
      </w:tr>
      <w:tr>
        <w:trPr/>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B</w:t>
            </w:r>
          </w:p>
        </w:tc>
        <w:tc>
          <w:tcPr>
            <w:tcW w:w="8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2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0,04 (tabla 5)</w:t>
            </w:r>
          </w:p>
        </w:tc>
        <w:tc>
          <w:tcPr>
            <w:tcW w:w="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ind w:hanging="0"/>
              <w:jc w:val="center"/>
              <w:rPr>
                <w:color w:val="FF0000"/>
              </w:rPr>
            </w:pPr>
            <w:r>
              <w:rPr>
                <w:color w:val="FF0000"/>
                <w:szCs w:val="22"/>
              </w:rPr>
              <w:t>1,58</w:t>
            </w:r>
          </w:p>
        </w:tc>
      </w:tr>
      <w:tr>
        <w:trPr/>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C</w:t>
            </w:r>
          </w:p>
        </w:tc>
        <w:tc>
          <w:tcPr>
            <w:tcW w:w="8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2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0,36 (tabla 6)</w:t>
            </w:r>
          </w:p>
        </w:tc>
        <w:tc>
          <w:tcPr>
            <w:tcW w:w="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ind w:hanging="0"/>
              <w:jc w:val="center"/>
              <w:rPr>
                <w:color w:val="FF0000"/>
              </w:rPr>
            </w:pPr>
            <w:r>
              <w:rPr>
                <w:color w:val="FF0000"/>
                <w:szCs w:val="22"/>
              </w:rPr>
              <w:t>14,26</w:t>
            </w:r>
          </w:p>
        </w:tc>
      </w:tr>
      <w:tr>
        <w:trPr/>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D</w:t>
            </w:r>
          </w:p>
        </w:tc>
        <w:tc>
          <w:tcPr>
            <w:tcW w:w="8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92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25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lang w:val="es-MX"/>
              </w:rPr>
            </w:pPr>
            <w:r>
              <w:rPr>
                <w:color w:val="FF0000"/>
                <w:lang w:val="es-MX"/>
              </w:rPr>
              <w:t>0,45</w:t>
            </w:r>
          </w:p>
        </w:tc>
        <w:tc>
          <w:tcPr>
            <w:tcW w:w="73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ind w:hanging="0"/>
              <w:jc w:val="center"/>
              <w:rPr>
                <w:color w:val="FF0000"/>
              </w:rPr>
            </w:pPr>
            <w:r>
              <w:rPr>
                <w:color w:val="FF0000"/>
                <w:szCs w:val="22"/>
              </w:rPr>
              <w:t>17,94</w:t>
            </w:r>
          </w:p>
        </w:tc>
      </w:tr>
    </w:tbl>
    <w:p>
      <w:pPr>
        <w:pStyle w:val="Ttulo2"/>
        <w:rPr/>
      </w:pPr>
      <w:bookmarkStart w:id="39" w:name="_Toc494448992"/>
      <w:bookmarkStart w:id="40" w:name="_Toc494448787"/>
      <w:r>
        <w:rPr/>
        <w:t>TOLERANCIA A LA PÉRDIDA DE SUELO (T)</w:t>
      </w:r>
      <w:bookmarkEnd w:id="39"/>
      <w:bookmarkEnd w:id="40"/>
    </w:p>
    <w:p>
      <w:pPr>
        <w:pStyle w:val="Normal"/>
        <w:rPr/>
      </w:pPr>
      <w:r>
        <w:rPr/>
        <w:t xml:space="preserve">La Tolerancia es la tasa máxima de pérdida admisible o pérdidas tolerables de suelo, es decir el nivel máximo de erosión que permite mantener un nivel productivo alto y sostenible indefinidamente. </w:t>
      </w:r>
    </w:p>
    <w:p>
      <w:pPr>
        <w:pStyle w:val="Normal"/>
        <w:rPr/>
      </w:pPr>
      <w:r>
        <w:rPr/>
        <w:t>Tabla 8: Tolerancia a la pérdida de suelo (t ha</w:t>
      </w:r>
      <w:r>
        <w:rPr>
          <w:vertAlign w:val="superscript"/>
        </w:rPr>
        <w:t>-1</w:t>
      </w:r>
      <w:r>
        <w:rPr/>
        <w:t xml:space="preserve"> año</w:t>
      </w:r>
      <w:r>
        <w:rPr>
          <w:vertAlign w:val="superscript"/>
        </w:rPr>
        <w:t>-1</w:t>
      </w:r>
      <w:r>
        <w:rPr/>
        <w:t>)</w:t>
      </w:r>
    </w:p>
    <w:tbl>
      <w:tblPr>
        <w:tblW w:w="89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2992"/>
        <w:gridCol w:w="2993"/>
        <w:gridCol w:w="2993"/>
      </w:tblGrid>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
                <w:b/>
              </w:rPr>
            </w:pPr>
            <w:r>
              <w:rPr>
                <w:b/>
              </w:rPr>
              <w:t>Profundidad explorada raíces</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
                <w:b/>
              </w:rPr>
            </w:pPr>
            <w:commentRangeStart w:id="33"/>
            <w:r>
              <w:rPr>
                <w:rFonts w:cs="Arial"/>
                <w:b/>
              </w:rPr>
              <w:t>Sustrato favorable</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Sustrato NO favorable</w:t>
            </w:r>
            <w:commentRangeEnd w:id="33"/>
            <w:r>
              <w:commentReference w:id="33"/>
            </w:r>
            <w:r>
              <w:rPr>
                <w:b/>
              </w:rPr>
            </w:r>
          </w:p>
        </w:tc>
      </w:tr>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i/>
                <w:i/>
              </w:rPr>
            </w:pPr>
            <w:r>
              <w:rPr>
                <w:rFonts w:cs="Arial"/>
                <w:bCs/>
                <w:i/>
              </w:rPr>
              <w:t>Menos de 25 cm</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2,2</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2,2</w:t>
            </w:r>
          </w:p>
        </w:tc>
      </w:tr>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i/>
                <w:i/>
              </w:rPr>
            </w:pPr>
            <w:r>
              <w:rPr>
                <w:rFonts w:cs="Arial"/>
                <w:bCs/>
                <w:i/>
              </w:rPr>
              <w:t>25 a 50 cm</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4,5</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2,2</w:t>
            </w:r>
          </w:p>
        </w:tc>
      </w:tr>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i/>
                <w:i/>
              </w:rPr>
            </w:pPr>
            <w:r>
              <w:rPr>
                <w:rFonts w:cs="Arial"/>
                <w:bCs/>
                <w:i/>
              </w:rPr>
              <w:t>50 a 100 cm</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6,7</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4,5</w:t>
            </w:r>
          </w:p>
        </w:tc>
      </w:tr>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i/>
                <w:i/>
              </w:rPr>
            </w:pPr>
            <w:r>
              <w:rPr>
                <w:rFonts w:cs="Arial"/>
                <w:bCs/>
                <w:i/>
              </w:rPr>
              <w:t>100 a 150 cm</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9,0</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6,7</w:t>
            </w:r>
          </w:p>
        </w:tc>
      </w:tr>
      <w:tr>
        <w:trPr/>
        <w:tc>
          <w:tcPr>
            <w:tcW w:w="2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i/>
                <w:i/>
              </w:rPr>
            </w:pPr>
            <w:r>
              <w:rPr>
                <w:rFonts w:cs="Arial"/>
                <w:bCs/>
                <w:i/>
              </w:rPr>
              <w:t>Mas de 150 cm</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11,2</w:t>
            </w:r>
          </w:p>
        </w:tc>
        <w:tc>
          <w:tcPr>
            <w:tcW w:w="2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rFonts w:cs="Arial"/>
                <w:bCs/>
              </w:rPr>
            </w:pPr>
            <w:r>
              <w:rPr>
                <w:rFonts w:cs="Arial"/>
                <w:bCs/>
              </w:rPr>
              <w:t>11,2</w:t>
            </w:r>
          </w:p>
        </w:tc>
      </w:tr>
    </w:tbl>
    <w:p>
      <w:pPr>
        <w:pStyle w:val="Normal"/>
        <w:ind w:left="930" w:hanging="0"/>
        <w:rPr>
          <w:rFonts w:cs="Arial"/>
          <w:bCs/>
        </w:rPr>
      </w:pPr>
      <w:r>
        <w:rPr>
          <w:rFonts w:cs="Arial"/>
          <w:bCs/>
        </w:rPr>
      </w:r>
    </w:p>
    <w:p>
      <w:pPr>
        <w:pStyle w:val="Ttulo3"/>
        <w:numPr>
          <w:ilvl w:val="0"/>
          <w:numId w:val="5"/>
        </w:numPr>
        <w:ind w:left="1287" w:firstLine="567"/>
        <w:rPr/>
      </w:pPr>
      <w:bookmarkStart w:id="41" w:name="_Toc494448788"/>
      <w:r>
        <w:rPr/>
        <w:t>Calcule la Tolerancia a la Pérdida de Suelo de los perfiles que se adjuntan usando la Tabla 8</w:t>
      </w:r>
      <w:bookmarkEnd w:id="41"/>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2409"/>
        <w:gridCol w:w="2409"/>
        <w:gridCol w:w="2410"/>
        <w:gridCol w:w="2409"/>
      </w:tblGrid>
      <w:tr>
        <w:trPr/>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Perfil</w:t>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1</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2</w:t>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rPr>
            </w:pPr>
            <w:r>
              <w:rPr>
                <w:b/>
              </w:rPr>
              <w:t>3</w:t>
            </w:r>
          </w:p>
        </w:tc>
      </w:tr>
      <w:tr>
        <w:trPr/>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pPr>
            <w:r>
              <w:rPr/>
              <w:t>Tolerancia</w:t>
              <w:br/>
            </w:r>
            <w:r>
              <w:rPr>
                <w:i/>
              </w:rPr>
              <w:t>(t ha</w:t>
            </w:r>
            <w:r>
              <w:rPr>
                <w:i/>
                <w:vertAlign w:val="superscript"/>
              </w:rPr>
              <w:t>-1</w:t>
            </w:r>
            <w:r>
              <w:rPr>
                <w:i/>
              </w:rPr>
              <w:t xml:space="preserve"> año</w:t>
            </w:r>
            <w:r>
              <w:rPr>
                <w:i/>
                <w:vertAlign w:val="superscript"/>
              </w:rPr>
              <w:t>-1</w:t>
            </w:r>
            <w:r>
              <w:rPr>
                <w:i/>
              </w:rPr>
              <w:t>)</w:t>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b/>
                <w:b/>
                <w:color w:val="FF0000"/>
              </w:rPr>
            </w:pPr>
            <w:r>
              <w:rPr>
                <w:color w:val="FF0000"/>
              </w:rPr>
              <w:t>Fav entre 100 y 150 cm=</w:t>
            </w:r>
          </w:p>
          <w:p>
            <w:pPr>
              <w:pStyle w:val="TablaImagenes"/>
              <w:rPr>
                <w:color w:val="FF0000"/>
              </w:rPr>
            </w:pPr>
            <w:r>
              <w:rPr>
                <w:color w:val="FF0000"/>
              </w:rPr>
              <w:t>9</w:t>
            </w:r>
          </w:p>
        </w:tc>
        <w:tc>
          <w:tcPr>
            <w:tcW w:w="2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NO fav hasta (el AB no se tiene en cuenta) 50cm=</w:t>
            </w:r>
          </w:p>
          <w:p>
            <w:pPr>
              <w:pStyle w:val="TablaImagenes"/>
              <w:rPr>
                <w:color w:val="FF0000"/>
              </w:rPr>
            </w:pPr>
            <w:r>
              <w:rPr>
                <w:color w:val="FF0000"/>
              </w:rPr>
              <w:t xml:space="preserve"> </w:t>
            </w:r>
            <w:r>
              <w:rPr>
                <w:color w:val="FF0000"/>
              </w:rPr>
              <w:t>4,5</w:t>
            </w:r>
          </w:p>
        </w:tc>
        <w:tc>
          <w:tcPr>
            <w:tcW w:w="2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ablaImagenes"/>
              <w:rPr>
                <w:color w:val="FF0000"/>
              </w:rPr>
            </w:pPr>
            <w:r>
              <w:rPr>
                <w:color w:val="FF0000"/>
              </w:rPr>
              <w:t>Fav - + 150 cm =</w:t>
            </w:r>
          </w:p>
          <w:p>
            <w:pPr>
              <w:pStyle w:val="TablaImagenes"/>
              <w:rPr>
                <w:color w:val="FF0000"/>
              </w:rPr>
            </w:pPr>
            <w:r>
              <w:rPr>
                <w:color w:val="FF0000"/>
              </w:rPr>
              <w:t xml:space="preserve"> </w:t>
            </w:r>
            <w:r>
              <w:rPr>
                <w:color w:val="FF0000"/>
              </w:rPr>
              <w:t>11,2</w:t>
            </w:r>
          </w:p>
        </w:tc>
      </w:tr>
    </w:tbl>
    <w:p>
      <w:pPr>
        <w:pStyle w:val="Normal"/>
        <w:rPr/>
      </w:pPr>
      <w:commentRangeStart w:id="34"/>
      <w:r>
        <w:rPr/>
        <w:t>---</w:t>
      </w:r>
      <w:commentRangeEnd w:id="34"/>
      <w:r>
        <w:commentReference w:id="34"/>
      </w:r>
      <w:r>
        <w:rPr/>
      </w:r>
    </w:p>
    <w:p>
      <w:pPr>
        <w:pStyle w:val="Normal"/>
        <w:spacing w:before="0" w:after="0"/>
        <w:ind w:hanging="0"/>
        <w:jc w:val="left"/>
        <w:rPr/>
      </w:pPr>
      <w:r>
        <w:rPr/>
      </w:r>
      <w:r>
        <w:br w:type="page"/>
      </w:r>
    </w:p>
    <w:p>
      <w:pPr>
        <w:pStyle w:val="Normal"/>
        <w:rPr/>
      </w:pPr>
      <w:r>
        <w:rPr/>
      </w:r>
    </w:p>
    <w:p>
      <w:pPr>
        <w:pStyle w:val="Ttulo3"/>
        <w:numPr>
          <w:ilvl w:val="0"/>
          <w:numId w:val="5"/>
        </w:numPr>
        <w:tabs>
          <w:tab w:val="clear" w:pos="1287"/>
        </w:tabs>
        <w:ind w:left="0" w:hanging="0"/>
        <w:rPr/>
      </w:pPr>
      <w:r>
        <w:rPr/>
        <w:t>Se pretende aprovechar una plantación forestal destinada a uso silvopastoril ubicada en el partido de Pergamino. Las estimaciones señalan que la extracción de un 50% del área basal actual podría ser rentable, siempre y cuando no implique daños por erosión superiores a las 6 t/ha/año. El sistema está implantado en un suelo clasificado como serie Arroyo Dulce, sobre un lote de 200 m de longitud y 2% de pendiente, laboreo a favor de la pendiente. Los árboles tienen una altura media de 4 m sus copas cubren un 50% y el suelo tiene una cobertura vegetal de un 40%. ¿Es factible el aprovechamiento? Y si no lo fuera ¿qué podría realizar</w:t>
      </w:r>
      <w:bookmarkStart w:id="42" w:name="_GoBack"/>
      <w:bookmarkEnd w:id="42"/>
      <w:r>
        <w:rPr/>
        <w:t>? ¿Cual es la pérdida de suelo en t/ha/año antes y después del aprovechamiento? El factor C previo y post aprovechamiento ¿es constante? Y si varía, ¿porque lo hace?</w:t>
      </w:r>
    </w:p>
    <w:p>
      <w:pPr>
        <w:pStyle w:val="Normal"/>
        <w:rPr/>
      </w:pPr>
      <w:r>
        <w:rPr/>
      </w:r>
    </w:p>
    <w:p>
      <w:pPr>
        <w:pStyle w:val="Normal"/>
        <w:rPr>
          <w:color w:val="FF0000"/>
          <w:highlight w:val="yellow"/>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K</m:t>
        </m:r>
        <m:r>
          <w:rPr>
            <w:rFonts w:ascii="Cambria Math" w:hAnsi="Cambria Math"/>
          </w:rPr>
          <m:t xml:space="preserve">∗</m:t>
        </m:r>
        <m:r>
          <w:rPr>
            <w:rFonts w:ascii="Cambria Math" w:hAnsi="Cambria Math"/>
          </w:rPr>
          <m:t xml:space="preserve">LS</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P</m:t>
        </m:r>
      </m:oMath>
    </w:p>
    <w:p>
      <w:pPr>
        <w:pStyle w:val="Normal"/>
        <w:rPr>
          <w:color w:val="FF0000"/>
          <w:highlight w:val="yellow"/>
        </w:rPr>
      </w:pP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previo</m:t>
            </m:r>
            <m:r>
              <w:rPr>
                <w:rFonts w:ascii="Cambria Math" w:hAnsi="Cambria Math"/>
              </w:rPr>
              <m:t xml:space="preserve">50</m:t>
            </m:r>
            <m:r>
              <m:rPr>
                <m:lit/>
                <m:nor/>
              </m:rPr>
              <w:rPr>
                <w:rFonts w:ascii="Cambria Math" w:hAnsi="Cambria Math"/>
              </w:rPr>
              <m:t xml:space="preserve">%</m:t>
            </m:r>
          </m:e>
        </m:d>
        <m:r>
          <w:rPr>
            <w:rFonts w:ascii="Cambria Math" w:hAnsi="Cambria Math"/>
          </w:rPr>
          <m:t xml:space="preserve">=</m:t>
        </m:r>
        <m:r>
          <w:rPr>
            <w:rFonts w:ascii="Cambria Math" w:hAnsi="Cambria Math"/>
          </w:rPr>
          <m:t xml:space="preserve">473</m:t>
        </m:r>
        <m:r>
          <w:rPr>
            <w:rFonts w:ascii="Cambria Math" w:hAnsi="Cambria Math"/>
          </w:rPr>
          <m:t xml:space="preserve">∗</m:t>
        </m:r>
        <m:r>
          <w:rPr>
            <w:rFonts w:ascii="Cambria Math" w:hAnsi="Cambria Math"/>
          </w:rPr>
          <m:t xml:space="preserve">0,431</m:t>
        </m:r>
        <m:r>
          <w:rPr>
            <w:rFonts w:ascii="Cambria Math" w:hAnsi="Cambria Math"/>
          </w:rPr>
          <m:t xml:space="preserve">∗</m:t>
        </m:r>
        <m:r>
          <w:rPr>
            <w:rFonts w:ascii="Cambria Math" w:hAnsi="Cambria Math"/>
          </w:rPr>
          <m:t xml:space="preserve">0,35</m:t>
        </m:r>
        <m:r>
          <w:rPr>
            <w:rFonts w:ascii="Cambria Math" w:hAnsi="Cambria Math"/>
          </w:rPr>
          <m:t xml:space="preserve">∗</m:t>
        </m:r>
        <m:r>
          <w:rPr>
            <w:rFonts w:ascii="Cambria Math" w:hAnsi="Cambria Math"/>
          </w:rPr>
          <m:t xml:space="preserve">0,09</m:t>
        </m:r>
        <m:d>
          <m:dPr>
            <m:begChr m:val="("/>
            <m:endChr m:val=")"/>
          </m:dPr>
          <m:e>
            <m:r>
              <w:rPr>
                <w:rFonts w:ascii="Cambria Math" w:hAnsi="Cambria Math"/>
              </w:rPr>
              <m:t xml:space="preserve">tabla</m:t>
            </m:r>
            <m:r>
              <w:rPr>
                <w:rFonts w:ascii="Cambria Math" w:hAnsi="Cambria Math"/>
              </w:rPr>
              <m:t xml:space="preserve">5</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6,4</m:t>
        </m:r>
        <m:r>
          <w:rPr>
            <w:rFonts w:ascii="Cambria Math" w:hAnsi="Cambria Math"/>
          </w:rPr>
          <m:t xml:space="preserve">t</m:t>
        </m:r>
        <m:sSup>
          <m:e>
            <m:r>
              <w:rPr>
                <w:rFonts w:ascii="Cambria Math" w:hAnsi="Cambria Math"/>
              </w:rPr>
              <m:t xml:space="preserve">ha</m:t>
            </m:r>
          </m:e>
          <m:sup>
            <m:r>
              <w:rPr>
                <w:rFonts w:ascii="Cambria Math" w:hAnsi="Cambria Math"/>
              </w:rPr>
              <m:t xml:space="preserve">−</m:t>
            </m:r>
            <m:r>
              <w:rPr>
                <w:rFonts w:ascii="Cambria Math" w:hAnsi="Cambria Math"/>
              </w:rPr>
              <m:t xml:space="preserve">1</m:t>
            </m:r>
          </m:sup>
        </m:sSup>
        <m:sSup>
          <m:e>
            <m:r>
              <w:rPr>
                <w:rFonts w:ascii="Cambria Math" w:hAnsi="Cambria Math"/>
              </w:rPr>
              <m:t xml:space="preserve">año</m:t>
            </m:r>
          </m:e>
          <m:sup>
            <m:r>
              <w:rPr>
                <w:rFonts w:ascii="Cambria Math" w:hAnsi="Cambria Math"/>
              </w:rPr>
              <m:t xml:space="preserve">−</m:t>
            </m:r>
            <m:r>
              <w:rPr>
                <w:rFonts w:ascii="Cambria Math" w:hAnsi="Cambria Math"/>
              </w:rPr>
              <m:t xml:space="preserve">1</m:t>
            </m:r>
          </m:sup>
        </m:sSup>
      </m:oMath>
    </w:p>
    <w:p>
      <w:pPr>
        <w:pStyle w:val="Normal"/>
        <w:rPr>
          <w:color w:val="FF0000"/>
          <w:highlight w:val="yellow"/>
        </w:rPr>
      </w:pP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post</m:t>
            </m:r>
            <m:r>
              <w:rPr>
                <w:rFonts w:ascii="Cambria Math" w:hAnsi="Cambria Math"/>
              </w:rPr>
              <m:t xml:space="preserve">25</m:t>
            </m:r>
            <m:r>
              <m:rPr>
                <m:lit/>
                <m:nor/>
              </m:rPr>
              <w:rPr>
                <w:rFonts w:ascii="Cambria Math" w:hAnsi="Cambria Math"/>
              </w:rPr>
              <m:t xml:space="preserve">%</m:t>
            </m:r>
          </m:e>
        </m:d>
        <m:r>
          <w:rPr>
            <w:rFonts w:ascii="Cambria Math" w:hAnsi="Cambria Math"/>
          </w:rPr>
          <m:t xml:space="preserve">=</m:t>
        </m:r>
        <m:r>
          <w:rPr>
            <w:rFonts w:ascii="Cambria Math" w:hAnsi="Cambria Math"/>
          </w:rPr>
          <m:t xml:space="preserve">473</m:t>
        </m:r>
        <m:r>
          <w:rPr>
            <w:rFonts w:ascii="Cambria Math" w:hAnsi="Cambria Math"/>
          </w:rPr>
          <m:t xml:space="preserve">∗</m:t>
        </m:r>
        <m:r>
          <w:rPr>
            <w:rFonts w:ascii="Cambria Math" w:hAnsi="Cambria Math"/>
          </w:rPr>
          <m:t xml:space="preserve">0,431</m:t>
        </m:r>
        <m:r>
          <w:rPr>
            <w:rFonts w:ascii="Cambria Math" w:hAnsi="Cambria Math"/>
          </w:rPr>
          <m:t xml:space="preserve">∗</m:t>
        </m:r>
        <m:r>
          <w:rPr>
            <w:rFonts w:ascii="Cambria Math" w:hAnsi="Cambria Math"/>
          </w:rPr>
          <m:t xml:space="preserve">0,35</m:t>
        </m:r>
        <m:r>
          <w:rPr>
            <w:rFonts w:ascii="Cambria Math" w:hAnsi="Cambria Math"/>
          </w:rPr>
          <m:t xml:space="preserve">∗</m:t>
        </m:r>
        <m:r>
          <w:rPr>
            <w:rFonts w:ascii="Cambria Math" w:hAnsi="Cambria Math"/>
          </w:rPr>
          <m:t xml:space="preserve">0,1</m:t>
        </m:r>
        <m:d>
          <m:dPr>
            <m:begChr m:val="("/>
            <m:endChr m:val=")"/>
          </m:dPr>
          <m:e>
            <m:r>
              <w:rPr>
                <w:rFonts w:ascii="Cambria Math" w:hAnsi="Cambria Math"/>
              </w:rPr>
              <m:t xml:space="preserve">tabla</m:t>
            </m:r>
            <m:r>
              <w:rPr>
                <w:rFonts w:ascii="Cambria Math" w:hAnsi="Cambria Math"/>
              </w:rPr>
              <m:t xml:space="preserve">5</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7,1</m:t>
        </m:r>
        <m:r>
          <w:rPr>
            <w:rFonts w:ascii="Cambria Math" w:hAnsi="Cambria Math"/>
          </w:rPr>
          <m:t xml:space="preserve">t</m:t>
        </m:r>
        <m:sSup>
          <m:e>
            <m:r>
              <w:rPr>
                <w:rFonts w:ascii="Cambria Math" w:hAnsi="Cambria Math"/>
              </w:rPr>
              <m:t xml:space="preserve">ha</m:t>
            </m:r>
          </m:e>
          <m:sup>
            <m:r>
              <w:rPr>
                <w:rFonts w:ascii="Cambria Math" w:hAnsi="Cambria Math"/>
              </w:rPr>
              <m:t xml:space="preserve">−</m:t>
            </m:r>
            <m:r>
              <w:rPr>
                <w:rFonts w:ascii="Cambria Math" w:hAnsi="Cambria Math"/>
              </w:rPr>
              <m:t xml:space="preserve">1</m:t>
            </m:r>
          </m:sup>
        </m:sSup>
        <m:sSup>
          <m:e>
            <m:r>
              <w:rPr>
                <w:rFonts w:ascii="Cambria Math" w:hAnsi="Cambria Math"/>
              </w:rPr>
              <m:t xml:space="preserve">año</m:t>
            </m:r>
          </m:e>
          <m:sup>
            <m:r>
              <w:rPr>
                <w:rFonts w:ascii="Cambria Math" w:hAnsi="Cambria Math"/>
              </w:rPr>
              <m:t xml:space="preserve">−</m:t>
            </m:r>
            <m:r>
              <w:rPr>
                <w:rFonts w:ascii="Cambria Math" w:hAnsi="Cambria Math"/>
              </w:rPr>
              <m:t xml:space="preserve">1</m:t>
            </m:r>
          </m:sup>
        </m:sSup>
      </m:oMath>
    </w:p>
    <w:p>
      <w:pPr>
        <w:pStyle w:val="Normal"/>
        <w:rPr>
          <w:color w:val="FF0000"/>
        </w:rPr>
      </w:pPr>
      <w:r>
        <w:rPr/>
      </w:r>
      <m:oMath xmlns:m="http://schemas.openxmlformats.org/officeDocument/2006/math">
        <m:r>
          <w:rPr>
            <w:rFonts w:ascii="Cambria Math" w:hAnsi="Cambria Math"/>
          </w:rPr>
          <m:t xml:space="preserve">A</m:t>
        </m:r>
        <m:d>
          <m:dPr>
            <m:begChr m:val="("/>
            <m:endChr m:val=")"/>
          </m:dPr>
          <m:e>
            <m:r>
              <w:rPr>
                <w:rFonts w:ascii="Cambria Math" w:hAnsi="Cambria Math"/>
              </w:rPr>
              <m:t xml:space="preserve">25</m:t>
            </m:r>
            <m:r>
              <m:rPr>
                <m:lit/>
                <m:nor/>
              </m:rPr>
              <w:rPr>
                <w:rFonts w:ascii="Cambria Math" w:hAnsi="Cambria Math"/>
              </w:rPr>
              <m:t xml:space="preserve">%</m:t>
            </m:r>
            <m:r>
              <w:rPr>
                <w:rFonts w:ascii="Cambria Math" w:hAnsi="Cambria Math"/>
              </w:rPr>
              <m:t xml:space="preserve">y</m:t>
            </m:r>
            <m:r>
              <w:rPr>
                <w:rFonts w:ascii="Cambria Math" w:hAnsi="Cambria Math"/>
              </w:rPr>
              <m:t xml:space="preserve">canal</m:t>
            </m:r>
            <m:r>
              <w:rPr>
                <w:rFonts w:ascii="Cambria Math" w:hAnsi="Cambria Math"/>
              </w:rPr>
              <m:t xml:space="preserve">a</m:t>
            </m:r>
            <m:r>
              <w:rPr>
                <w:rFonts w:ascii="Cambria Math" w:hAnsi="Cambria Math"/>
              </w:rPr>
              <m:t xml:space="preserve">100</m:t>
            </m:r>
            <m:r>
              <w:rPr>
                <w:rFonts w:ascii="Cambria Math" w:hAnsi="Cambria Math"/>
              </w:rPr>
              <m:t xml:space="preserve">m</m:t>
            </m:r>
          </m:e>
        </m:d>
        <m:r>
          <w:rPr>
            <w:rFonts w:ascii="Cambria Math" w:hAnsi="Cambria Math"/>
          </w:rPr>
          <m:t xml:space="preserve">=</m:t>
        </m:r>
        <m:r>
          <w:rPr>
            <w:rFonts w:ascii="Cambria Math" w:hAnsi="Cambria Math"/>
          </w:rPr>
          <m:t xml:space="preserve">473</m:t>
        </m:r>
        <m:r>
          <w:rPr>
            <w:rFonts w:ascii="Cambria Math" w:hAnsi="Cambria Math"/>
          </w:rPr>
          <m:t xml:space="preserve">∗</m:t>
        </m:r>
        <m:r>
          <w:rPr>
            <w:rFonts w:ascii="Cambria Math" w:hAnsi="Cambria Math"/>
          </w:rPr>
          <m:t xml:space="preserve">0,431</m:t>
        </m:r>
        <m:r>
          <w:rPr>
            <w:rFonts w:ascii="Cambria Math" w:hAnsi="Cambria Math"/>
          </w:rPr>
          <m:t xml:space="preserve">∗</m:t>
        </m:r>
        <m:r>
          <w:rPr>
            <w:rFonts w:ascii="Cambria Math" w:hAnsi="Cambria Math"/>
          </w:rPr>
          <m:t xml:space="preserve">0,29</m:t>
        </m:r>
        <m:r>
          <w:rPr>
            <w:rFonts w:ascii="Cambria Math" w:hAnsi="Cambria Math"/>
          </w:rPr>
          <m:t xml:space="preserve">∗</m:t>
        </m:r>
        <m:r>
          <w:rPr>
            <w:rFonts w:ascii="Cambria Math" w:hAnsi="Cambria Math"/>
          </w:rPr>
          <m:t xml:space="preserve">0,1</m:t>
        </m:r>
        <m:d>
          <m:dPr>
            <m:begChr m:val="("/>
            <m:endChr m:val=")"/>
          </m:dPr>
          <m:e>
            <m:r>
              <w:rPr>
                <w:rFonts w:ascii="Cambria Math" w:hAnsi="Cambria Math"/>
              </w:rPr>
              <m:t xml:space="preserve">tabla</m:t>
            </m:r>
            <m:r>
              <w:rPr>
                <w:rFonts w:ascii="Cambria Math" w:hAnsi="Cambria Math"/>
              </w:rPr>
              <m:t xml:space="preserve">5</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5,91</m:t>
        </m:r>
        <m:r>
          <w:rPr>
            <w:rFonts w:ascii="Cambria Math" w:hAnsi="Cambria Math"/>
          </w:rPr>
          <m:t xml:space="preserve">t</m:t>
        </m:r>
        <m:sSup>
          <m:e>
            <m:r>
              <w:rPr>
                <w:rFonts w:ascii="Cambria Math" w:hAnsi="Cambria Math"/>
              </w:rPr>
              <m:t xml:space="preserve">ha</m:t>
            </m:r>
          </m:e>
          <m:sup>
            <m:r>
              <w:rPr>
                <w:rFonts w:ascii="Cambria Math" w:hAnsi="Cambria Math"/>
              </w:rPr>
              <m:t xml:space="preserve">−</m:t>
            </m:r>
            <m:r>
              <w:rPr>
                <w:rFonts w:ascii="Cambria Math" w:hAnsi="Cambria Math"/>
              </w:rPr>
              <m:t xml:space="preserve">1</m:t>
            </m:r>
          </m:sup>
        </m:sSup>
        <m:sSup>
          <m:e>
            <m:r>
              <w:rPr>
                <w:rFonts w:ascii="Cambria Math" w:hAnsi="Cambria Math"/>
              </w:rPr>
              <m:t xml:space="preserve">año</m:t>
            </m:r>
          </m:e>
          <m:sup>
            <m:r>
              <w:rPr>
                <w:rFonts w:ascii="Cambria Math" w:hAnsi="Cambria Math"/>
              </w:rPr>
              <m:t xml:space="preserve">−</m:t>
            </m:r>
            <m:r>
              <w:rPr>
                <w:rFonts w:ascii="Cambria Math" w:hAnsi="Cambria Math"/>
              </w:rPr>
              <m:t xml:space="preserve">1</m:t>
            </m:r>
          </m:sup>
        </m:sSup>
      </m:oMath>
    </w:p>
    <w:p>
      <w:pPr>
        <w:pStyle w:val="Normal"/>
        <w:rPr>
          <w:color w:val="FF0000"/>
        </w:rPr>
      </w:pPr>
      <w:r>
        <w:rPr>
          <w:color w:val="FF0000"/>
        </w:rPr>
      </w:r>
    </w:p>
    <w:p>
      <w:pPr>
        <w:pStyle w:val="Normal"/>
        <w:rPr>
          <w:rFonts w:ascii="Cambria" w:hAnsi="Cambria"/>
          <w:sz w:val="28"/>
          <w:szCs w:val="28"/>
        </w:rPr>
      </w:pPr>
      <w:r>
        <w:rPr>
          <w:rFonts w:ascii="Cambria" w:hAnsi="Cambria"/>
          <w:sz w:val="28"/>
          <w:szCs w:val="28"/>
        </w:rPr>
      </w:r>
      <w:r>
        <w:br w:type="page"/>
      </w:r>
    </w:p>
    <w:p>
      <w:pPr>
        <w:pStyle w:val="Ttulo2"/>
        <w:rPr/>
      </w:pPr>
      <w:r>
        <w:rPr/>
        <w:t>Perfil 1: Serie</w:t>
      </w:r>
      <w:bookmarkStart w:id="43" w:name="ARROYO_DULCE"/>
      <w:r>
        <w:rPr/>
        <w:t xml:space="preserve"> Arroyo Dulce</w:t>
      </w:r>
      <w:bookmarkEnd w:id="43"/>
      <w:r>
        <w:rPr/>
        <w:t xml:space="preserve"> (AD)</w:t>
      </w:r>
    </w:p>
    <w:p>
      <w:pPr>
        <w:pStyle w:val="Normal"/>
        <w:rPr/>
      </w:pPr>
      <w:r>
        <w:rPr/>
        <w:t>Es un suelo oscuro, muy profundo, con aptitud agrícola, en un paisaje de lomas extendidas, en posición de loma de la Subregión Pampa Ondulada alta, formado en sedimentos loéssicos, franco limoso, no alcalino, no salino, con gradiente de 0 a 3 %.</w:t>
      </w:r>
    </w:p>
    <w:p>
      <w:pPr>
        <w:pStyle w:val="Normal"/>
        <w:rPr>
          <w:rFonts w:ascii="Calibri" w:hAnsi="Calibri" w:asciiTheme="minorHAnsi" w:hAnsiTheme="minorHAnsi"/>
          <w:szCs w:val="22"/>
        </w:rPr>
      </w:pPr>
      <w:r>
        <w:rPr>
          <w:rFonts w:asciiTheme="minorHAnsi" w:hAnsiTheme="minorHAnsi"/>
          <w:b/>
          <w:bCs/>
          <w:szCs w:val="22"/>
        </w:rPr>
        <w:t>Clasificación Taxonómica</w:t>
      </w:r>
      <w:r>
        <w:rPr>
          <w:rFonts w:asciiTheme="minorHAnsi" w:hAnsiTheme="minorHAnsi"/>
          <w:szCs w:val="22"/>
        </w:rPr>
        <w:t>: Argiudol Típico, Fina, illítica, térmica (USDA-Soil Taxonomy 2006)</w:t>
      </w:r>
    </w:p>
    <w:p>
      <w:pPr>
        <w:pStyle w:val="Normal"/>
        <w:rPr>
          <w:rFonts w:ascii="Calibri" w:hAnsi="Calibri" w:asciiTheme="minorHAnsi" w:hAnsiTheme="minorHAnsi"/>
          <w:szCs w:val="22"/>
        </w:rPr>
      </w:pPr>
      <w:r>
        <w:rPr>
          <w:rFonts w:asciiTheme="minorHAnsi" w:hAnsiTheme="minorHAnsi"/>
          <w:b/>
          <w:bCs/>
          <w:szCs w:val="22"/>
        </w:rPr>
        <w:t>Descripción del perfil típico:</w:t>
      </w:r>
      <w:r>
        <w:rPr>
          <w:rFonts w:asciiTheme="minorHAnsi" w:hAnsiTheme="minorHAnsi"/>
          <w:szCs w:val="22"/>
        </w:rPr>
        <w:t> 11/347C - Mosaico 3560-3-1. Fecha de extracción: 18-11-65.</w:t>
      </w:r>
    </w:p>
    <w:p>
      <w:pPr>
        <w:pStyle w:val="Normal"/>
        <w:rPr>
          <w:rFonts w:ascii="Calibri" w:hAnsi="Calibri" w:asciiTheme="minorHAnsi" w:hAnsiTheme="minorHAnsi"/>
          <w:szCs w:val="22"/>
        </w:rPr>
      </w:pPr>
      <w:r>
        <w:rPr>
          <w:rFonts w:asciiTheme="minorHAnsi" w:hAnsiTheme="minorHAnsi"/>
          <w:szCs w:val="22"/>
        </w:rPr>
      </w:r>
    </w:p>
    <w:tbl>
      <w:tblPr>
        <w:tblW w:w="9914" w:type="dxa"/>
        <w:jc w:val="center"/>
        <w:tblInd w:w="0" w:type="dxa"/>
        <w:tblBorders>
          <w:bottom w:val="single" w:sz="6" w:space="0" w:color="000000"/>
          <w:insideH w:val="single" w:sz="6" w:space="0" w:color="000000"/>
        </w:tblBorders>
        <w:tblCellMar>
          <w:top w:w="0" w:type="dxa"/>
          <w:left w:w="0" w:type="dxa"/>
          <w:bottom w:w="0" w:type="dxa"/>
          <w:right w:w="0" w:type="dxa"/>
        </w:tblCellMar>
        <w:tblLook w:val="04a0"/>
      </w:tblPr>
      <w:tblGrid>
        <w:gridCol w:w="704"/>
        <w:gridCol w:w="9209"/>
      </w:tblGrid>
      <w:tr>
        <w:trPr/>
        <w:tc>
          <w:tcPr>
            <w:tcW w:w="704" w:type="dxa"/>
            <w:tcBorders>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Ap1</w:t>
            </w:r>
          </w:p>
        </w:tc>
        <w:tc>
          <w:tcPr>
            <w:tcW w:w="9209" w:type="dxa"/>
            <w:tcBorders>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0 a 14 cm; pardo (10YR 4/3) en seco; pardo grisáceo muy oscuro (10YR 3/2) en húmedo; franco limoso; granular muy fina débil; friable; no plástico y no adhesivo; raíces abundantes; límite abrupto suave.</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Ap2</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14 a 34 cm; pardo amarillento oscuro (10YR 4/4) en seco; negro (10YR 2/1) en húmedo; franco limoso; granular fina débil; friable; no plástico y no adhesivo; raíces comunes; límite claro suave. (El espesor del A varía entre 20 y 38 cm).</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AB</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34 a 45 cm; pardo (10YR 5/3) en seco; pardo oscuro (10YR 3/3) en húmedo; franco limoso; granular fina débil; friable; no plástico y no adhesivo; raíces escasas; límite claro suave. (0 a 15 cm).</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BA</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45 a 58 cm; pardo (10YR 5/3) en seco; pardo oscuro (10YR 3/3) en húmedo; franco arcillo limoso; bloques subangulares medios moderados; friable; ligeramente plástico y ligeramente adhesivo; raíces escasas; límite gradual suave. (8 a 15 cm).</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Bt1</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58 a 77 cm; pardo a pardo oscuro (7,5YR 4/4) en seco; pardo oscuro (7,5YR 3/2) en húmedo; franco arcillo limoso; prismas medios y gruesos moderados que rompe en bloques angulares; firme; muy plástico y muy adhesivo; barnices ("clay skins") abundantes; límite gradual ondulado.</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Bt2</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77 a 97 cm; pardo (7,5YR 5/4) en seco; pardo a pardo oscuro (7,5YR 4/4) en húmedo; franco arcillo limoso; prismas medios y gruesos moderados; firme; plástico y ligeramente adhesivo; barnices ("clay skins") abundantes; límite gradual, ondulado. (El espesor del Bt varía entre 40 y 90 cm).</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BC1</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97 a 119 cm; pardo (7,5YR 5/4) en seco; pardo oscuro (7,5YR 3/2) en húmedo; franco limoso; subangulares medios débiles; friable; ligeramente plástico, ligeramente adhesivo; límite gradual ondulado.</w:t>
            </w:r>
          </w:p>
        </w:tc>
      </w:tr>
      <w:tr>
        <w:trPr/>
        <w:tc>
          <w:tcPr>
            <w:tcW w:w="704" w:type="dxa"/>
            <w:tcBorders>
              <w:top w:val="single" w:sz="6" w:space="0" w:color="000000"/>
              <w:bottom w:val="single" w:sz="6" w:space="0" w:color="000000"/>
              <w:insideH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BC2</w:t>
            </w:r>
          </w:p>
        </w:tc>
        <w:tc>
          <w:tcPr>
            <w:tcW w:w="9209" w:type="dxa"/>
            <w:tcBorders>
              <w:top w:val="single" w:sz="6" w:space="0" w:color="000000"/>
              <w:bottom w:val="single" w:sz="6" w:space="0" w:color="000000"/>
              <w:insideH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119 a 140 cm; amarillo rojizo (7,5YR 6/6) en seco; pardo fuerte (7,5YR 5/6) en húmedo; franco limoso; bloques medios muy débiles; friable; límite gradual ondulado. (El BC varía entre 25 y 78 cm).</w:t>
            </w:r>
          </w:p>
        </w:tc>
      </w:tr>
      <w:tr>
        <w:trPr/>
        <w:tc>
          <w:tcPr>
            <w:tcW w:w="704" w:type="dxa"/>
            <w:tcBorders>
              <w:top w:val="single" w:sz="6" w:space="0" w:color="000000"/>
            </w:tcBorders>
            <w:shd w:fill="auto" w:val="clear"/>
            <w:vAlign w:val="center"/>
          </w:tcPr>
          <w:p>
            <w:pPr>
              <w:pStyle w:val="TablaImagenes"/>
              <w:rPr>
                <w:rFonts w:ascii="Calibri" w:hAnsi="Calibri" w:asciiTheme="minorHAnsi" w:hAnsiTheme="minorHAnsi"/>
                <w:b/>
                <w:b/>
                <w:i/>
                <w:i/>
              </w:rPr>
            </w:pPr>
            <w:r>
              <w:rPr>
                <w:rFonts w:asciiTheme="minorHAnsi" w:hAnsiTheme="minorHAnsi"/>
                <w:b/>
                <w:i/>
                <w:szCs w:val="22"/>
              </w:rPr>
              <w:t>C</w:t>
            </w:r>
          </w:p>
        </w:tc>
        <w:tc>
          <w:tcPr>
            <w:tcW w:w="9209" w:type="dxa"/>
            <w:tcBorders>
              <w:top w:val="single" w:sz="6" w:space="0" w:color="000000"/>
            </w:tcBorders>
            <w:shd w:fill="auto" w:val="clear"/>
            <w:vAlign w:val="center"/>
          </w:tcPr>
          <w:p>
            <w:pPr>
              <w:pStyle w:val="TablaImagenes"/>
              <w:jc w:val="both"/>
              <w:rPr>
                <w:rFonts w:ascii="Calibri" w:hAnsi="Calibri" w:asciiTheme="minorHAnsi" w:hAnsiTheme="minorHAnsi"/>
              </w:rPr>
            </w:pPr>
            <w:r>
              <w:rPr>
                <w:rFonts w:asciiTheme="minorHAnsi" w:hAnsiTheme="minorHAnsi"/>
                <w:szCs w:val="22"/>
              </w:rPr>
              <w:t>140 a 220 cm; pardo claro (7,5YR 6/4) en seco; pardo fuerte (7,5YR 5/6) en húmedo; franco limoso; masivo; friable.</w:t>
            </w:r>
          </w:p>
        </w:tc>
      </w:tr>
    </w:tbl>
    <w:p>
      <w:pPr>
        <w:pStyle w:val="Normal"/>
        <w:spacing w:before="0" w:after="0"/>
        <w:ind w:hanging="0"/>
        <w:jc w:val="left"/>
        <w:rPr>
          <w:rFonts w:ascii="Calibri" w:hAnsi="Calibri" w:asciiTheme="minorHAnsi" w:hAnsiTheme="minorHAnsi"/>
          <w:b/>
          <w:b/>
          <w:bCs/>
          <w:szCs w:val="22"/>
        </w:rPr>
      </w:pPr>
      <w:r>
        <w:rPr>
          <w:rFonts w:asciiTheme="minorHAnsi" w:hAnsiTheme="minorHAnsi"/>
          <w:b/>
          <w:bCs/>
          <w:szCs w:val="22"/>
        </w:rPr>
      </w:r>
    </w:p>
    <w:p>
      <w:pPr>
        <w:pStyle w:val="Normal"/>
        <w:rPr/>
      </w:pPr>
      <w:r>
        <w:rPr>
          <w:b/>
          <w:bCs/>
        </w:rPr>
        <w:t>Observaciones:</w:t>
      </w:r>
      <w:r>
        <w:rPr/>
        <w:t> Texturas muy arenosas con más del 60% de fracción arena.</w:t>
      </w:r>
    </w:p>
    <w:p>
      <w:pPr>
        <w:pStyle w:val="Normal"/>
        <w:rPr/>
      </w:pPr>
      <w:r>
        <w:rPr>
          <w:b/>
          <w:bCs/>
        </w:rPr>
        <w:t>Ubicación del Perfil:</w:t>
      </w:r>
      <w:r>
        <w:rPr/>
        <w:t> Latitud S: 34º 44’ 20”; longitud O: 62º 34’ 12”. Altitud 106 m.s.n.m. A 11,5 km. al sudoeste de la localidad de Saboya, partido de General Villegas, provincia de Buenos Aires. Mosaico I.G.M. 3563-10-4, Colonia Basavilbaso.</w:t>
      </w:r>
    </w:p>
    <w:p>
      <w:pPr>
        <w:pStyle w:val="Normal"/>
        <w:rPr/>
      </w:pPr>
      <w:r>
        <w:rPr>
          <w:b/>
          <w:bCs/>
        </w:rPr>
        <w:t>Variabilidad de las características:</w:t>
      </w:r>
      <w:r>
        <w:rPr/>
        <w:t>  El Bw puede presentar variaciones en el contenido de arcilla.</w:t>
      </w:r>
    </w:p>
    <w:p>
      <w:pPr>
        <w:pStyle w:val="Normal"/>
        <w:rPr/>
      </w:pPr>
      <w:r>
        <w:rPr>
          <w:b/>
          <w:bCs/>
        </w:rPr>
        <w:t xml:space="preserve">Fases: </w:t>
      </w:r>
      <w:r>
        <w:rPr/>
        <w:t>Se reconocieron fases por drenaje.</w:t>
      </w:r>
    </w:p>
    <w:p>
      <w:pPr>
        <w:pStyle w:val="Normal"/>
        <w:rPr/>
      </w:pPr>
      <w:r>
        <w:rPr>
          <w:b/>
          <w:bCs/>
        </w:rPr>
        <w:t>Series similares:</w:t>
      </w:r>
      <w:r>
        <w:rPr/>
        <w:t> Lincoln, Carlos Tejedor, Estación Naón.</w:t>
      </w:r>
    </w:p>
    <w:p>
      <w:pPr>
        <w:pStyle w:val="Normal"/>
        <w:rPr/>
      </w:pPr>
      <w:r>
        <w:rPr>
          <w:b/>
          <w:bCs/>
        </w:rPr>
        <w:t>Suelos asociados:</w:t>
      </w:r>
      <w:r>
        <w:rPr/>
        <w:t> Pichincha, Balbín, Lincoln, Santa Ana, Carlos Tejedor.</w:t>
      </w:r>
    </w:p>
    <w:p>
      <w:pPr>
        <w:pStyle w:val="Normal"/>
        <w:rPr/>
      </w:pPr>
      <w:r>
        <w:rPr>
          <w:b/>
          <w:bCs/>
        </w:rPr>
        <w:t>Distribución geográfica:</w:t>
      </w:r>
      <w:r>
        <w:rPr/>
        <w:t> Partidos de General Villegas, General Pinto, Ameghino, Rivadavia, Carlos Tejedor, norte de Trenque Lauquén, norte de Pehuajó, este de Lincoln; en las cartas I.G.M. 3563-9, 10, 11, 15, 16, 17, 18, 21, 22, 23, 27, 28, 29, 30 y 33.</w:t>
      </w:r>
    </w:p>
    <w:p>
      <w:pPr>
        <w:pStyle w:val="Normal"/>
        <w:rPr/>
      </w:pPr>
      <w:r>
        <w:rPr/>
      </w:r>
    </w:p>
    <w:p>
      <w:pPr>
        <w:pStyle w:val="Normal"/>
        <w:rPr/>
      </w:pPr>
      <w:r>
        <w:rPr>
          <w:b/>
          <w:bCs/>
        </w:rPr>
        <w:t>Drenaje y permeabilidad:</w:t>
      </w:r>
      <w:r>
        <w:rPr/>
        <w:t> Algo excesivamente drenado, escurrimiento medio, permeabilidad moderada, profundidad de la capa freática mayor a 100 cm.</w:t>
      </w:r>
    </w:p>
    <w:p>
      <w:pPr>
        <w:pStyle w:val="Normal"/>
        <w:rPr/>
      </w:pPr>
      <w:r>
        <w:rPr>
          <w:b/>
          <w:bCs/>
        </w:rPr>
        <w:t>Uso y vegetación:</w:t>
      </w:r>
      <w:r>
        <w:rPr/>
        <w:t> Agrícola.</w:t>
      </w:r>
    </w:p>
    <w:p>
      <w:pPr>
        <w:pStyle w:val="Normal"/>
        <w:rPr/>
      </w:pPr>
      <w:r>
        <w:rPr>
          <w:b/>
          <w:bCs/>
        </w:rPr>
        <w:t>Capacidad de uso: </w:t>
      </w:r>
      <w:r>
        <w:rPr/>
        <w:t>IV s</w:t>
      </w:r>
    </w:p>
    <w:p>
      <w:pPr>
        <w:pStyle w:val="Normal"/>
        <w:rPr/>
      </w:pPr>
      <w:r>
        <w:rPr>
          <w:b/>
          <w:bCs/>
        </w:rPr>
        <w:t>Limitaciones de uso:</w:t>
      </w:r>
      <w:r>
        <w:rPr/>
        <w:t> Baja retención de humedad y escasa Capacidad de Intercambio Catiónico (bajo CIC).</w:t>
      </w:r>
    </w:p>
    <w:p>
      <w:pPr>
        <w:pStyle w:val="Normal"/>
        <w:rPr/>
      </w:pPr>
      <w:r>
        <w:rPr>
          <w:b/>
          <w:bCs/>
        </w:rPr>
        <w:t>Índice de productividad según la región climática:</w:t>
      </w:r>
      <w:r>
        <w:rPr/>
        <w:t> 52,6 (B)</w:t>
      </w:r>
    </w:p>
    <w:p>
      <w:pPr>
        <w:pStyle w:val="Normal"/>
        <w:rPr/>
      </w:pPr>
      <w:r>
        <w:rPr>
          <w:b/>
          <w:bCs/>
        </w:rPr>
        <w:t>Rasgos diagnósticos:</w:t>
      </w:r>
      <w:r>
        <w:rPr/>
        <w:t> Epipedón mólico, régimen de humedad údico, escaso desarrollo genético (horizonte cámbico Bw).</w:t>
      </w:r>
    </w:p>
    <w:p>
      <w:pPr>
        <w:pStyle w:val="Normal"/>
        <w:rPr>
          <w:rFonts w:ascii="Calibri" w:hAnsi="Calibri" w:asciiTheme="minorHAnsi" w:hAnsiTheme="minorHAnsi"/>
          <w:b/>
          <w:b/>
          <w:szCs w:val="22"/>
        </w:rPr>
      </w:pPr>
      <w:r>
        <w:rPr>
          <w:rFonts w:asciiTheme="minorHAnsi" w:hAnsiTheme="minorHAnsi"/>
          <w:b/>
          <w:szCs w:val="22"/>
        </w:rPr>
        <w:t>DATOS ANALÍTICOS</w:t>
      </w:r>
    </w:p>
    <w:tbl>
      <w:tblPr>
        <w:tblW w:w="4950" w:type="pct"/>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Look w:val="04a0"/>
      </w:tblPr>
      <w:tblGrid>
        <w:gridCol w:w="2284"/>
        <w:gridCol w:w="668"/>
        <w:gridCol w:w="764"/>
        <w:gridCol w:w="763"/>
        <w:gridCol w:w="763"/>
        <w:gridCol w:w="859"/>
        <w:gridCol w:w="859"/>
        <w:gridCol w:w="858"/>
        <w:gridCol w:w="859"/>
        <w:gridCol w:w="863"/>
      </w:tblGrid>
      <w:tr>
        <w:trPr>
          <w:trHeight w:val="210"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szCs w:val="22"/>
              </w:rPr>
              <w:t>HORIZONTES</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Ap1</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Ap2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AB</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BA</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Bt1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Bt2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BC1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BC2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b/>
                <w:b/>
              </w:rPr>
            </w:pPr>
            <w:r>
              <w:rPr>
                <w:rFonts w:asciiTheme="minorHAnsi" w:hAnsiTheme="minorHAnsi"/>
                <w:b/>
                <w:bCs/>
                <w:szCs w:val="22"/>
              </w:rPr>
              <w:t>C</w:t>
            </w:r>
          </w:p>
        </w:tc>
      </w:tr>
      <w:tr>
        <w:trPr>
          <w:trHeight w:val="210"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Profundidad (cm)</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0-14</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14-34</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34-45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45-58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58-77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77-97</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97-120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120-140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140-220</w:t>
            </w:r>
          </w:p>
        </w:tc>
      </w:tr>
      <w:tr>
        <w:trPr>
          <w:trHeight w:val="210"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Mat. orgánica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3,89</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3,31</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1,58</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0,93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0,88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0,72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0,41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0,22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0,15</w:t>
            </w:r>
          </w:p>
        </w:tc>
      </w:tr>
      <w:tr>
        <w:trPr>
          <w:trHeight w:val="210"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Carbono total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2,26</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0,92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0,42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0,24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0,13</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0,09</w:t>
            </w:r>
          </w:p>
        </w:tc>
      </w:tr>
      <w:tr>
        <w:trPr>
          <w:trHeight w:val="210"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Nitrógeno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0,224</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0,197</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0,093</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0,070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0,076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0,066</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0,053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0,049</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0,028</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Relación C/N</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NA</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Arcilla &lt; 2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mc:AlternateContent>
                <mc:Choice Requires="wps">
                  <w:drawing>
                    <wp:anchor behindDoc="0" distT="0" distB="0" distL="114300" distR="114300" simplePos="0" locked="0" layoutInCell="1" allowOverlap="1" relativeHeight="5">
                      <wp:simplePos x="0" y="0"/>
                      <wp:positionH relativeFrom="column">
                        <wp:posOffset>33020</wp:posOffset>
                      </wp:positionH>
                      <wp:positionV relativeFrom="paragraph">
                        <wp:posOffset>13970</wp:posOffset>
                      </wp:positionV>
                      <wp:extent cx="353060" cy="191135"/>
                      <wp:effectExtent l="0" t="0" r="0" b="0"/>
                      <wp:wrapNone/>
                      <wp:docPr id="11" name=""/>
                      <a:graphic xmlns:a="http://schemas.openxmlformats.org/drawingml/2006/main">
                        <a:graphicData uri="http://schemas.microsoft.com/office/word/2010/wordprocessingShape">
                          <wps:wsp>
                            <wps:cNvSpPr/>
                            <wps:spPr>
                              <a:xfrm>
                                <a:off x="0" y="0"/>
                                <a:ext cx="352440" cy="190440"/>
                              </a:xfrm>
                              <a:prstGeom prst="ellipse">
                                <a:avLst/>
                              </a:prstGeom>
                              <a:noFill/>
                              <a:ln>
                                <a:solidFill>
                                  <a:srgbClr val="000000"/>
                                </a:solidFill>
                              </a:ln>
                            </wps:spPr>
                            <wps:bodyPr/>
                          </wps:wsp>
                        </a:graphicData>
                      </a:graphic>
                    </wp:anchor>
                  </w:drawing>
                </mc:Choice>
                <mc:Fallback>
                  <w:pict>
                    <v:oval id="shape_0" stroked="t" style="position:absolute;margin-left:2.6pt;margin-top:1.1pt;width:27.7pt;height:14.95pt">
                      <w10:wrap type="none"/>
                      <v:fill o:detectmouseclick="t" on="false"/>
                      <v:stroke color="black" joinstyle="round" endcap="flat"/>
                    </v:oval>
                  </w:pict>
                </mc:Fallback>
              </mc:AlternateContent>
            </w:r>
            <w:r>
              <w:rPr>
                <w:rFonts w:asciiTheme="minorHAnsi" w:hAnsiTheme="minorHAnsi"/>
                <w:szCs w:val="22"/>
              </w:rPr>
              <w:t>2</w:t>
            </w:r>
            <w:r>
              <w:rPr>
                <w:rFonts w:asciiTheme="minorHAnsi" w:hAnsiTheme="minorHAnsi"/>
                <w:szCs w:val="22"/>
              </w:rPr>
              <w:t>0,6</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26,8</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32,4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39,8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39,4</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26,1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23,2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19,3</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Limo 2-20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27,1</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26,7</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28,9</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23,5</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NA</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Limo 2-50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mc:AlternateContent>
                <mc:Choice Requires="wps">
                  <w:drawing>
                    <wp:anchor behindDoc="0" distT="0" distB="0" distL="114300" distR="114300" simplePos="0" locked="0" layoutInCell="1" allowOverlap="1" relativeHeight="6">
                      <wp:simplePos x="0" y="0"/>
                      <wp:positionH relativeFrom="column">
                        <wp:posOffset>36830</wp:posOffset>
                      </wp:positionH>
                      <wp:positionV relativeFrom="paragraph">
                        <wp:posOffset>-4445</wp:posOffset>
                      </wp:positionV>
                      <wp:extent cx="353060" cy="219710"/>
                      <wp:effectExtent l="0" t="0" r="0" b="0"/>
                      <wp:wrapNone/>
                      <wp:docPr id="12" name=""/>
                      <a:graphic xmlns:a="http://schemas.openxmlformats.org/drawingml/2006/main">
                        <a:graphicData uri="http://schemas.microsoft.com/office/word/2010/wordprocessingShape">
                          <wps:wsp>
                            <wps:cNvSpPr/>
                            <wps:spPr>
                              <a:xfrm>
                                <a:off x="0" y="0"/>
                                <a:ext cx="352440" cy="219240"/>
                              </a:xfrm>
                              <a:prstGeom prst="ellipse">
                                <a:avLst/>
                              </a:prstGeom>
                              <a:noFill/>
                              <a:ln>
                                <a:solidFill>
                                  <a:srgbClr val="000000"/>
                                </a:solidFill>
                              </a:ln>
                            </wps:spPr>
                            <wps:bodyPr/>
                          </wps:wsp>
                        </a:graphicData>
                      </a:graphic>
                    </wp:anchor>
                  </w:drawing>
                </mc:Choice>
                <mc:Fallback>
                  <w:pict>
                    <v:oval id="shape_0" stroked="t" style="position:absolute;margin-left:2.9pt;margin-top:-0.35pt;width:27.7pt;height:17.2pt">
                      <w10:wrap type="none"/>
                      <v:fill o:detectmouseclick="t" on="false"/>
                      <v:stroke color="black" joinstyle="round" endcap="flat"/>
                    </v:oval>
                  </w:pict>
                </mc:Fallback>
              </mc:AlternateContent>
            </w:r>
            <w:r>
              <w:rPr>
                <w:rFonts w:asciiTheme="minorHAnsi" w:hAnsiTheme="minorHAnsi"/>
                <w:szCs w:val="22"/>
              </w:rPr>
              <w:t>6</w:t>
            </w:r>
            <w:r>
              <w:rPr>
                <w:rFonts w:asciiTheme="minorHAnsi" w:hAnsiTheme="minorHAnsi"/>
                <w:szCs w:val="22"/>
              </w:rPr>
              <w:t>3,9</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57,9</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53,2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48,2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46,6</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53,5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54,7</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59,4</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AMF 50-75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AMF 75-100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mc:AlternateContent>
                <mc:Choice Requires="wps">
                  <w:drawing>
                    <wp:anchor behindDoc="0" distT="0" distB="0" distL="114300" distR="114300" simplePos="0" locked="0" layoutInCell="1" allowOverlap="1" relativeHeight="7">
                      <wp:simplePos x="0" y="0"/>
                      <wp:positionH relativeFrom="column">
                        <wp:posOffset>38100</wp:posOffset>
                      </wp:positionH>
                      <wp:positionV relativeFrom="paragraph">
                        <wp:posOffset>129540</wp:posOffset>
                      </wp:positionV>
                      <wp:extent cx="353060" cy="219710"/>
                      <wp:effectExtent l="0" t="0" r="0" b="0"/>
                      <wp:wrapNone/>
                      <wp:docPr id="13" name=""/>
                      <a:graphic xmlns:a="http://schemas.openxmlformats.org/drawingml/2006/main">
                        <a:graphicData uri="http://schemas.microsoft.com/office/word/2010/wordprocessingShape">
                          <wps:wsp>
                            <wps:cNvSpPr/>
                            <wps:spPr>
                              <a:xfrm>
                                <a:off x="0" y="0"/>
                                <a:ext cx="352440" cy="219240"/>
                              </a:xfrm>
                              <a:prstGeom prst="ellipse">
                                <a:avLst/>
                              </a:prstGeom>
                              <a:noFill/>
                              <a:ln>
                                <a:solidFill>
                                  <a:srgbClr val="000000"/>
                                </a:solidFill>
                              </a:ln>
                            </wps:spPr>
                            <wps:bodyPr/>
                          </wps:wsp>
                        </a:graphicData>
                      </a:graphic>
                    </wp:anchor>
                  </w:drawing>
                </mc:Choice>
                <mc:Fallback>
                  <w:pict>
                    <v:oval id="shape_0" stroked="t" style="position:absolute;margin-left:3pt;margin-top:10.2pt;width:27.7pt;height:17.2pt">
                      <w10:wrap type="none"/>
                      <v:fill o:detectmouseclick="t" on="false"/>
                      <v:stroke color="black" joinstyle="round" endcap="flat"/>
                    </v:oval>
                  </w:pict>
                </mc:Fallback>
              </mc:AlternateContent>
            </w:r>
            <w:r>
              <w:rPr>
                <w:rFonts w:asciiTheme="minorHAnsi" w:hAnsiTheme="minorHAnsi"/>
                <w:szCs w:val="22"/>
              </w:rPr>
              <w:t>-</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AMF 50-100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10,9</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11,1</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14,6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12,5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12,9</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17,9</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AF 100-250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3,4</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1,3</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0,7</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2,5</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AM 250-500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0,7</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0,3</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0,4</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0,6</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AG 500-1000 µ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0,3</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AMG 1-2 mm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0,1</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Calcáreo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0,0</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Eq.humedad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Re. pasta Ohms</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2005</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2497</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5426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4951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2829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2604</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3453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3285</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4117</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Cond. mmhos/cm</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pH en pasta</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5,4</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5,3</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5,7</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5,8</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pH H</w:t>
            </w:r>
            <w:r>
              <w:rPr>
                <w:rFonts w:asciiTheme="minorHAnsi" w:hAnsiTheme="minorHAnsi"/>
                <w:b/>
                <w:bCs/>
                <w:szCs w:val="22"/>
                <w:vertAlign w:val="subscript"/>
              </w:rPr>
              <w:t>2</w:t>
            </w:r>
            <w:r>
              <w:rPr>
                <w:rFonts w:asciiTheme="minorHAnsi" w:hAnsiTheme="minorHAnsi"/>
                <w:b/>
                <w:bCs/>
                <w:szCs w:val="22"/>
              </w:rPr>
              <w:t>O 1:2,5</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6,8</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6,9</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7,0</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pH KCL 1:2,5</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5,5</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5,4</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5,1</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5,0</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NA</w:t>
            </w:r>
          </w:p>
        </w:tc>
      </w:tr>
      <w:tr>
        <w:trPr>
          <w:trHeight w:val="225" w:hRule="atLeast"/>
        </w:trPr>
        <w:tc>
          <w:tcPr>
            <w:tcW w:w="9540"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CATIONES DE CAMBIO</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Ca++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16,1</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14,8</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11,7</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11,1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17,3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18,1</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14,9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13,3</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13,7</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Mg++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2,8</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4,2</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Na+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0,4</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0,4</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0,5</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K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0,9</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1,7</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1,6</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H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7,0</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5,1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6,0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4,0</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3,3</w:t>
            </w:r>
          </w:p>
        </w:tc>
      </w:tr>
      <w:tr>
        <w:trPr>
          <w:trHeight w:val="225" w:hRule="exact"/>
        </w:trPr>
        <w:tc>
          <w:tcPr>
            <w:tcW w:w="9540"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rPr>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Na (% de T)</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2,6</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4,0</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1,8</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2,3</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V.S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20,8</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16,2</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16,3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24,8</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27,2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21,3</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19,5</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20,2</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CIC m.eq./100gr</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22,8</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22,3</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20,5</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19,4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28,5</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29,4</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23,1</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22,2</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21,7</w:t>
            </w:r>
          </w:p>
        </w:tc>
      </w:tr>
      <w:tr>
        <w:trPr>
          <w:trHeight w:val="225" w:hRule="atLeast"/>
        </w:trPr>
        <w:tc>
          <w:tcPr>
            <w:tcW w:w="228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b/>
                <w:bCs/>
                <w:szCs w:val="22"/>
              </w:rPr>
              <w:t>Sat. con bases (%)</w:t>
            </w:r>
          </w:p>
        </w:tc>
        <w:tc>
          <w:tcPr>
            <w:tcW w:w="66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91</w:t>
            </w:r>
          </w:p>
        </w:tc>
        <w:tc>
          <w:tcPr>
            <w:tcW w:w="76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86</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79</w:t>
            </w:r>
          </w:p>
        </w:tc>
        <w:tc>
          <w:tcPr>
            <w:tcW w:w="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84</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87</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92</w:t>
            </w:r>
          </w:p>
        </w:tc>
        <w:tc>
          <w:tcPr>
            <w:tcW w:w="85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92</w:t>
            </w:r>
          </w:p>
        </w:tc>
        <w:tc>
          <w:tcPr>
            <w:tcW w:w="8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88</w:t>
            </w:r>
          </w:p>
        </w:tc>
        <w:tc>
          <w:tcPr>
            <w:tcW w:w="8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rPr>
            </w:pPr>
            <w:r>
              <w:rPr>
                <w:rFonts w:asciiTheme="minorHAnsi" w:hAnsiTheme="minorHAnsi"/>
                <w:szCs w:val="22"/>
              </w:rPr>
              <w:t>93</w:t>
            </w:r>
          </w:p>
        </w:tc>
      </w:tr>
      <w:tr>
        <w:trPr>
          <w:trHeight w:val="225" w:hRule="atLeast"/>
        </w:trPr>
        <w:tc>
          <w:tcPr>
            <w:tcW w:w="9540"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rFonts w:ascii="Calibri" w:hAnsi="Calibri" w:asciiTheme="minorHAnsi" w:hAnsiTheme="minorHAnsi"/>
                <w:i/>
                <w:i/>
                <w:color w:val="auto"/>
              </w:rPr>
            </w:pPr>
            <w:r>
              <w:rPr>
                <w:rFonts w:asciiTheme="minorHAnsi" w:hAnsiTheme="minorHAnsi"/>
                <w:bCs/>
                <w:i/>
                <w:color w:val="auto"/>
                <w:szCs w:val="22"/>
              </w:rPr>
              <w:t>NA: No analizado</w:t>
            </w:r>
          </w:p>
        </w:tc>
      </w:tr>
    </w:tbl>
    <w:p>
      <w:pPr>
        <w:pStyle w:val="Normal"/>
        <w:rPr>
          <w:rFonts w:ascii="Calibri" w:hAnsi="Calibri" w:asciiTheme="minorHAnsi" w:hAnsiTheme="minorHAnsi"/>
          <w:szCs w:val="22"/>
        </w:rPr>
      </w:pPr>
      <w:r>
        <w:rPr>
          <w:rFonts w:asciiTheme="minorHAnsi" w:hAnsiTheme="minorHAnsi"/>
          <w:szCs w:val="22"/>
        </w:rPr>
      </w:r>
    </w:p>
    <w:p>
      <w:pPr>
        <w:pStyle w:val="Normal"/>
        <w:spacing w:before="0" w:after="0"/>
        <w:ind w:hanging="0"/>
        <w:jc w:val="left"/>
        <w:rPr>
          <w:rFonts w:ascii="Calibri" w:hAnsi="Calibri" w:asciiTheme="minorHAnsi" w:hAnsiTheme="minorHAnsi"/>
          <w:szCs w:val="22"/>
        </w:rPr>
      </w:pPr>
      <w:r>
        <w:rPr>
          <w:rFonts w:asciiTheme="minorHAnsi" w:hAnsiTheme="minorHAnsi"/>
          <w:szCs w:val="22"/>
        </w:rPr>
      </w:r>
      <w:r>
        <w:br w:type="page"/>
      </w:r>
    </w:p>
    <w:p>
      <w:pPr>
        <w:pStyle w:val="Ttulo2"/>
        <w:rPr/>
      </w:pPr>
      <w:bookmarkStart w:id="44" w:name="_Toc494448994"/>
      <w:bookmarkStart w:id="45" w:name="_Toc494448790"/>
      <w:r>
        <w:rPr/>
        <w:t>Perfil 2: Serie Ramallo (RR)</w:t>
      </w:r>
      <w:bookmarkEnd w:id="44"/>
      <w:bookmarkEnd w:id="45"/>
    </w:p>
    <w:p>
      <w:pPr>
        <w:pStyle w:val="Normal"/>
        <w:rPr/>
      </w:pPr>
      <w:r>
        <w:rPr/>
        <w:t>Es un suelo profundo, de aptitud agrícola, se encuentra en un paisaje de planicies altas, en posición de loma, en la Subregión Pampa Ondulada alta, moderadamente bien drenado, con material originario loéssico, franco limoso, no alcalino, no sódico, con pendientes que no superan el 0.5 %.</w:t>
      </w:r>
    </w:p>
    <w:p>
      <w:pPr>
        <w:pStyle w:val="Normal"/>
        <w:rPr/>
      </w:pPr>
      <w:r>
        <w:rPr>
          <w:b/>
        </w:rPr>
        <w:t>Clasificación taxonómica:</w:t>
      </w:r>
      <w:r>
        <w:rPr/>
        <w:t xml:space="preserve"> Argiudol Vértico, Fina, illítica, térmica (USDA- Soil Taxonomy V. 2006).</w:t>
      </w:r>
    </w:p>
    <w:p>
      <w:pPr>
        <w:pStyle w:val="Normal"/>
        <w:rPr/>
      </w:pPr>
      <w:r>
        <w:rPr>
          <w:b/>
        </w:rPr>
        <w:t>Descripción del perfil típico:</w:t>
      </w:r>
      <w:r>
        <w:rPr/>
        <w:t xml:space="preserve"> N° 6/358C. Extracción de muestra: año 1967.</w:t>
      </w:r>
    </w:p>
    <w:p>
      <w:pPr>
        <w:pStyle w:val="Normal"/>
        <w:rPr/>
      </w:pPr>
      <w:r>
        <w:rPr/>
      </w:r>
    </w:p>
    <w:tbl>
      <w:tblPr>
        <w:tblW w:w="9639" w:type="dxa"/>
        <w:jc w:val="center"/>
        <w:tblInd w:w="0" w:type="dxa"/>
        <w:tblBorders>
          <w:bottom w:val="single" w:sz="8" w:space="0" w:color="000000"/>
          <w:insideH w:val="single" w:sz="8" w:space="0" w:color="000000"/>
        </w:tblBorders>
        <w:tblCellMar>
          <w:top w:w="0" w:type="dxa"/>
          <w:left w:w="0" w:type="dxa"/>
          <w:bottom w:w="0" w:type="dxa"/>
          <w:right w:w="0" w:type="dxa"/>
        </w:tblCellMar>
        <w:tblLook w:val="04a0"/>
      </w:tblPr>
      <w:tblGrid>
        <w:gridCol w:w="566"/>
        <w:gridCol w:w="9072"/>
      </w:tblGrid>
      <w:tr>
        <w:trPr/>
        <w:tc>
          <w:tcPr>
            <w:tcW w:w="566" w:type="dxa"/>
            <w:tcBorders>
              <w:bottom w:val="single" w:sz="8" w:space="0" w:color="000000"/>
              <w:insideH w:val="single" w:sz="8" w:space="0" w:color="000000"/>
            </w:tcBorders>
            <w:shd w:fill="auto" w:val="clear"/>
            <w:vAlign w:val="center"/>
          </w:tcPr>
          <w:p>
            <w:pPr>
              <w:pStyle w:val="TablaImagenes"/>
              <w:rPr>
                <w:b/>
                <w:b/>
                <w:i/>
                <w:i/>
              </w:rPr>
            </w:pPr>
            <w:r>
              <w:rPr>
                <w:b/>
                <w:i/>
              </w:rPr>
              <w:t>Ap</w:t>
            </w:r>
          </w:p>
        </w:tc>
        <w:tc>
          <w:tcPr>
            <w:tcW w:w="9072" w:type="dxa"/>
            <w:tcBorders>
              <w:bottom w:val="single" w:sz="8" w:space="0" w:color="000000"/>
              <w:insideH w:val="single" w:sz="8" w:space="0" w:color="000000"/>
            </w:tcBorders>
            <w:shd w:fill="auto" w:val="clear"/>
            <w:vAlign w:val="center"/>
          </w:tcPr>
          <w:p>
            <w:pPr>
              <w:pStyle w:val="TablaImagenes"/>
              <w:rPr/>
            </w:pPr>
            <w:r>
              <w:rPr/>
              <w:t>0-13 cm; pardo grisáceo oscuro (10YR 4/2) en seco; pardo grisáceo muy oscuro (10YR 3/2) en húmedo; franco arcillo limoso; bloques subangulares finos débiles; duro; friable; ligeramente plástico; ligeramente adhesivo; límite inferior claro, suave.</w:t>
            </w:r>
          </w:p>
        </w:tc>
      </w:tr>
      <w:tr>
        <w:trPr/>
        <w:tc>
          <w:tcPr>
            <w:tcW w:w="566" w:type="dxa"/>
            <w:tcBorders>
              <w:top w:val="single" w:sz="8" w:space="0" w:color="000000"/>
              <w:bottom w:val="single" w:sz="8" w:space="0" w:color="000000"/>
              <w:insideH w:val="single" w:sz="8" w:space="0" w:color="000000"/>
            </w:tcBorders>
            <w:shd w:fill="auto" w:val="clear"/>
            <w:vAlign w:val="center"/>
          </w:tcPr>
          <w:p>
            <w:pPr>
              <w:pStyle w:val="TablaImagenes"/>
              <w:rPr>
                <w:b/>
                <w:b/>
                <w:i/>
                <w:i/>
              </w:rPr>
            </w:pPr>
            <w:r>
              <w:rPr>
                <w:b/>
                <w:i/>
              </w:rPr>
              <w:t>A</w:t>
            </w:r>
          </w:p>
        </w:tc>
        <w:tc>
          <w:tcPr>
            <w:tcW w:w="9072" w:type="dxa"/>
            <w:tcBorders>
              <w:top w:val="single" w:sz="8" w:space="0" w:color="000000"/>
              <w:bottom w:val="single" w:sz="8" w:space="0" w:color="000000"/>
              <w:insideH w:val="single" w:sz="8" w:space="0" w:color="000000"/>
            </w:tcBorders>
            <w:shd w:fill="auto" w:val="clear"/>
            <w:vAlign w:val="center"/>
          </w:tcPr>
          <w:p>
            <w:pPr>
              <w:pStyle w:val="TablaImagenes"/>
              <w:rPr/>
            </w:pPr>
            <w:r>
              <w:rPr/>
              <w:t>13-27 cm; pardo grisáceo oscuro (10YR 4/2) en seco; pardo muy oscuro (10YR 2/2) en húmedo; franco arcillo limoso; bloques subangulares finos, débiles; duro; friable; ligeramente plástico; ligeramente adhesivo; límite inferior claro, suave.</w:t>
            </w:r>
          </w:p>
        </w:tc>
      </w:tr>
      <w:tr>
        <w:trPr/>
        <w:tc>
          <w:tcPr>
            <w:tcW w:w="566" w:type="dxa"/>
            <w:tcBorders>
              <w:top w:val="single" w:sz="8" w:space="0" w:color="000000"/>
              <w:bottom w:val="single" w:sz="8" w:space="0" w:color="000000"/>
              <w:insideH w:val="single" w:sz="8" w:space="0" w:color="000000"/>
            </w:tcBorders>
            <w:shd w:fill="auto" w:val="clear"/>
            <w:vAlign w:val="center"/>
          </w:tcPr>
          <w:p>
            <w:pPr>
              <w:pStyle w:val="TablaImagenes"/>
              <w:rPr>
                <w:b/>
                <w:b/>
                <w:i/>
                <w:i/>
              </w:rPr>
            </w:pPr>
            <w:r>
              <w:rPr>
                <w:b/>
                <w:i/>
              </w:rPr>
              <w:t>AB</w:t>
            </w:r>
          </w:p>
        </w:tc>
        <w:tc>
          <w:tcPr>
            <w:tcW w:w="9072" w:type="dxa"/>
            <w:tcBorders>
              <w:top w:val="single" w:sz="8" w:space="0" w:color="000000"/>
              <w:bottom w:val="single" w:sz="8" w:space="0" w:color="000000"/>
              <w:insideH w:val="single" w:sz="8" w:space="0" w:color="000000"/>
            </w:tcBorders>
            <w:shd w:fill="auto" w:val="clear"/>
            <w:vAlign w:val="center"/>
          </w:tcPr>
          <w:p>
            <w:pPr>
              <w:pStyle w:val="TablaImagenes"/>
              <w:rPr/>
            </w:pPr>
            <w:r>
              <w:rPr/>
              <w:t>27-40 cm; pardo (7,5YR 5/2) en seco; pardo oscuro (7,5YR 3/2) en húmedo; franco arcillo limoso; bloques subangulares medios moderados; firme; plástico; adhesivo; barnices ("clay skins") escasos; límite inferior abrupto, suave.</w:t>
            </w:r>
          </w:p>
        </w:tc>
      </w:tr>
      <w:tr>
        <w:trPr/>
        <w:tc>
          <w:tcPr>
            <w:tcW w:w="566" w:type="dxa"/>
            <w:tcBorders>
              <w:top w:val="single" w:sz="8" w:space="0" w:color="000000"/>
              <w:bottom w:val="single" w:sz="8" w:space="0" w:color="000000"/>
              <w:insideH w:val="single" w:sz="8" w:space="0" w:color="000000"/>
            </w:tcBorders>
            <w:shd w:fill="auto" w:val="clear"/>
            <w:vAlign w:val="center"/>
          </w:tcPr>
          <w:p>
            <w:pPr>
              <w:pStyle w:val="TablaImagenes"/>
              <w:rPr>
                <w:b/>
                <w:b/>
                <w:i/>
                <w:i/>
              </w:rPr>
            </w:pPr>
            <w:r>
              <w:rPr>
                <w:b/>
                <w:i/>
              </w:rPr>
              <w:t>Btss</w:t>
            </w:r>
          </w:p>
        </w:tc>
        <w:tc>
          <w:tcPr>
            <w:tcW w:w="9072" w:type="dxa"/>
            <w:tcBorders>
              <w:top w:val="single" w:sz="8" w:space="0" w:color="000000"/>
              <w:bottom w:val="single" w:sz="8" w:space="0" w:color="000000"/>
              <w:insideH w:val="single" w:sz="8" w:space="0" w:color="000000"/>
            </w:tcBorders>
            <w:shd w:fill="auto" w:val="clear"/>
            <w:vAlign w:val="center"/>
          </w:tcPr>
          <w:p>
            <w:pPr>
              <w:pStyle w:val="TablaImagenes"/>
              <w:rPr/>
            </w:pPr>
            <w:r>
              <w:rPr/>
              <w:t>40-76 cm; pardo (7,5YR 5/2) en seco; pardo a pardo oscuro (7,5YR 4/2) en húmedo; arcilloso; en prismas gruesos fuertes; muy firme; muy plástico; adhesivo; barnices ("clay skins") muy abundantes; "slickensides" abundantes; límite inferior claro, suave.</w:t>
            </w:r>
          </w:p>
        </w:tc>
      </w:tr>
      <w:tr>
        <w:trPr/>
        <w:tc>
          <w:tcPr>
            <w:tcW w:w="566" w:type="dxa"/>
            <w:tcBorders>
              <w:top w:val="single" w:sz="8" w:space="0" w:color="000000"/>
              <w:bottom w:val="single" w:sz="8" w:space="0" w:color="000000"/>
              <w:insideH w:val="single" w:sz="8" w:space="0" w:color="000000"/>
            </w:tcBorders>
            <w:shd w:fill="auto" w:val="clear"/>
            <w:vAlign w:val="center"/>
          </w:tcPr>
          <w:p>
            <w:pPr>
              <w:pStyle w:val="TablaImagenes"/>
              <w:rPr>
                <w:b/>
                <w:b/>
                <w:i/>
                <w:i/>
              </w:rPr>
            </w:pPr>
            <w:r>
              <w:rPr>
                <w:b/>
                <w:i/>
              </w:rPr>
              <w:t>Bt</w:t>
            </w:r>
          </w:p>
        </w:tc>
        <w:tc>
          <w:tcPr>
            <w:tcW w:w="9072" w:type="dxa"/>
            <w:tcBorders>
              <w:top w:val="single" w:sz="8" w:space="0" w:color="000000"/>
              <w:bottom w:val="single" w:sz="8" w:space="0" w:color="000000"/>
              <w:insideH w:val="single" w:sz="8" w:space="0" w:color="000000"/>
            </w:tcBorders>
            <w:shd w:fill="auto" w:val="clear"/>
            <w:vAlign w:val="center"/>
          </w:tcPr>
          <w:p>
            <w:pPr>
              <w:pStyle w:val="TablaImagenes"/>
              <w:rPr/>
            </w:pPr>
            <w:r>
              <w:rPr/>
              <w:t>76-131 cm; pardo claro (7,5YR 6/4) en seco; pardo (7,5YR 5/2) en húmedo; arcillo limoso; prismas gruesos moderados; muy firme; muy plástico; adhesivo; barnices ("clay skins") abundantes; "slickensides" escasos; límite inferior gradual, suave.</w:t>
            </w:r>
          </w:p>
        </w:tc>
      </w:tr>
      <w:tr>
        <w:trPr/>
        <w:tc>
          <w:tcPr>
            <w:tcW w:w="566" w:type="dxa"/>
            <w:tcBorders>
              <w:top w:val="single" w:sz="8" w:space="0" w:color="000000"/>
              <w:bottom w:val="single" w:sz="8" w:space="0" w:color="000000"/>
              <w:insideH w:val="single" w:sz="8" w:space="0" w:color="000000"/>
            </w:tcBorders>
            <w:shd w:fill="auto" w:val="clear"/>
            <w:vAlign w:val="center"/>
          </w:tcPr>
          <w:p>
            <w:pPr>
              <w:pStyle w:val="TablaImagenes"/>
              <w:rPr>
                <w:b/>
                <w:b/>
                <w:i/>
                <w:i/>
              </w:rPr>
            </w:pPr>
            <w:r>
              <w:rPr>
                <w:b/>
                <w:i/>
              </w:rPr>
              <w:t>BC</w:t>
            </w:r>
          </w:p>
        </w:tc>
        <w:tc>
          <w:tcPr>
            <w:tcW w:w="9072" w:type="dxa"/>
            <w:tcBorders>
              <w:top w:val="single" w:sz="8" w:space="0" w:color="000000"/>
              <w:bottom w:val="single" w:sz="8" w:space="0" w:color="000000"/>
              <w:insideH w:val="single" w:sz="8" w:space="0" w:color="000000"/>
            </w:tcBorders>
            <w:shd w:fill="auto" w:val="clear"/>
            <w:vAlign w:val="center"/>
          </w:tcPr>
          <w:p>
            <w:pPr>
              <w:pStyle w:val="TablaImagenes"/>
              <w:rPr/>
            </w:pPr>
            <w:r>
              <w:rPr/>
              <w:t>131-198 cm; pardo claro (7,5YR 6/4) en seco; pardo a pardo oscuro (7,5YR 4/4) en húmedo; franco arcillo limoso; bloques angulares medios moderados; firme; plástico; adhesivo; barnices ("clay skins") escasos; límite inferior gradual, ondulado.</w:t>
            </w:r>
          </w:p>
        </w:tc>
      </w:tr>
      <w:tr>
        <w:trPr/>
        <w:tc>
          <w:tcPr>
            <w:tcW w:w="566" w:type="dxa"/>
            <w:tcBorders>
              <w:top w:val="single" w:sz="8" w:space="0" w:color="000000"/>
            </w:tcBorders>
            <w:shd w:fill="auto" w:val="clear"/>
            <w:vAlign w:val="center"/>
          </w:tcPr>
          <w:p>
            <w:pPr>
              <w:pStyle w:val="TablaImagenes"/>
              <w:rPr>
                <w:b/>
                <w:b/>
                <w:i/>
                <w:i/>
              </w:rPr>
            </w:pPr>
            <w:r>
              <w:rPr>
                <w:b/>
                <w:i/>
              </w:rPr>
              <w:t>C</w:t>
            </w:r>
          </w:p>
        </w:tc>
        <w:tc>
          <w:tcPr>
            <w:tcW w:w="9072" w:type="dxa"/>
            <w:tcBorders>
              <w:top w:val="single" w:sz="8" w:space="0" w:color="000000"/>
            </w:tcBorders>
            <w:shd w:fill="auto" w:val="clear"/>
            <w:vAlign w:val="center"/>
          </w:tcPr>
          <w:p>
            <w:pPr>
              <w:pStyle w:val="TablaImagenes"/>
              <w:rPr/>
            </w:pPr>
            <w:r>
              <w:rPr/>
              <w:t>198-220 cm; pardo claro a rosado (7,5YR 6,5/4) en seco; pardo (7,5YR 5/4) en húmedo; franco limoso; masivo; friable; concreciones calcáreas abundantes; escasa cantidad de carbonatos libres en la masa.</w:t>
            </w:r>
          </w:p>
        </w:tc>
      </w:tr>
    </w:tbl>
    <w:p>
      <w:pPr>
        <w:pStyle w:val="Normal"/>
        <w:spacing w:before="0" w:after="0"/>
        <w:ind w:hanging="0"/>
        <w:jc w:val="left"/>
        <w:rPr>
          <w:rFonts w:ascii="Verdana" w:hAnsi="Verdana"/>
          <w:sz w:val="17"/>
          <w:szCs w:val="17"/>
        </w:rPr>
      </w:pPr>
      <w:r>
        <w:rPr>
          <w:rFonts w:ascii="Verdana" w:hAnsi="Verdana"/>
          <w:sz w:val="17"/>
          <w:szCs w:val="17"/>
        </w:rPr>
      </w:r>
    </w:p>
    <w:p>
      <w:pPr>
        <w:pStyle w:val="Normal"/>
        <w:rPr/>
      </w:pPr>
      <w:r>
        <w:rPr>
          <w:b/>
          <w:bCs/>
        </w:rPr>
        <w:t>Ubicación del perfil:</w:t>
      </w:r>
      <w:r>
        <w:rPr/>
        <w:t> Latitud: S 33° 40' 50'' y Longitud: W 60° 03' 10''. Altitud: 48 m.s.n.m. a 11 km. al nor-noroeste de Pérez Millán, partido de </w:t>
      </w:r>
      <w:bookmarkStart w:id="46" w:name="Ramallo"/>
      <w:r>
        <w:rPr/>
        <w:t>Ramallo</w:t>
      </w:r>
      <w:bookmarkEnd w:id="46"/>
      <w:r>
        <w:rPr/>
        <w:t>, provincia de Buenos Aires; hojas I.G.M. 3360-33 y 3360-32 </w:t>
      </w:r>
    </w:p>
    <w:p>
      <w:pPr>
        <w:pStyle w:val="Normal"/>
        <w:rPr/>
      </w:pPr>
      <w:r>
        <w:rPr>
          <w:b/>
          <w:bCs/>
        </w:rPr>
        <w:t>Variabilidad de las características:</w:t>
      </w:r>
      <w:r>
        <w:rPr/>
        <w:t> el A varía entre 25 y 32 cm. El Bt tiene entre 50 a 92 cm. de espesor, con texturas arcillo limosas, con valores de arcilla que varía entre 45 a 60 %, el BC puede tener concreciones calcáreas.</w:t>
      </w:r>
    </w:p>
    <w:p>
      <w:pPr>
        <w:pStyle w:val="Normal"/>
        <w:rPr/>
      </w:pPr>
      <w:r>
        <w:rPr>
          <w:b/>
          <w:bCs/>
        </w:rPr>
        <w:t>Fases:</w:t>
      </w:r>
      <w:r>
        <w:rPr/>
        <w:t> Se han reconocido en diversos grados, por drenaje, erosión y por espesor.</w:t>
      </w:r>
    </w:p>
    <w:p>
      <w:pPr>
        <w:pStyle w:val="Normal"/>
        <w:rPr/>
      </w:pPr>
      <w:r>
        <w:rPr>
          <w:b/>
          <w:bCs/>
        </w:rPr>
        <w:t>Series similares:</w:t>
      </w:r>
      <w:r>
        <w:rPr/>
        <w:t> Peyrano.</w:t>
      </w:r>
    </w:p>
    <w:p>
      <w:pPr>
        <w:pStyle w:val="Normal"/>
        <w:rPr/>
      </w:pPr>
      <w:r>
        <w:rPr>
          <w:b/>
          <w:bCs/>
        </w:rPr>
        <w:t>Suelos asociados:</w:t>
      </w:r>
      <w:r>
        <w:rPr/>
        <w:t> Santa Lucía, Manantiales, Atucha y Roldán.</w:t>
      </w:r>
    </w:p>
    <w:p>
      <w:pPr>
        <w:pStyle w:val="Normal"/>
        <w:rPr/>
      </w:pPr>
      <w:r>
        <w:rPr>
          <w:b/>
          <w:bCs/>
        </w:rPr>
        <w:t>Distribución geográfica:</w:t>
      </w:r>
      <w:r>
        <w:rPr/>
        <w:t> Partidos de Ramallo, San Nicolás, Nordeste de Pergamino y San Pedro, en la provincia de Buenos Aires. Hojas I.G.M. 3360-33- 1 y 2, 3360-34-1 y 3360-27 y 28.</w:t>
      </w:r>
    </w:p>
    <w:p>
      <w:pPr>
        <w:pStyle w:val="Normal"/>
        <w:rPr/>
      </w:pPr>
      <w:r>
        <w:rPr>
          <w:b/>
          <w:bCs/>
        </w:rPr>
        <w:t>Drenaje y permeabilidad:</w:t>
      </w:r>
      <w:r>
        <w:rPr/>
        <w:t> Moderadamente bien drenado, escurrimiento medio, permeabilidad moderadamente lenta.</w:t>
      </w:r>
    </w:p>
    <w:p>
      <w:pPr>
        <w:pStyle w:val="Normal"/>
        <w:rPr/>
      </w:pPr>
      <w:r>
        <w:rPr>
          <w:b/>
          <w:bCs/>
        </w:rPr>
        <w:t>Uso y vegetación:</w:t>
      </w:r>
      <w:r>
        <w:rPr/>
        <w:t> Rastrojo de maíz (Zea maíz)</w:t>
      </w:r>
    </w:p>
    <w:p>
      <w:pPr>
        <w:pStyle w:val="Normal"/>
        <w:rPr/>
      </w:pPr>
      <w:r>
        <w:rPr>
          <w:b/>
          <w:bCs/>
        </w:rPr>
        <w:t>Capacidad de uso:</w:t>
      </w:r>
      <w:r>
        <w:rPr/>
        <w:t> II w.</w:t>
      </w:r>
    </w:p>
    <w:p>
      <w:pPr>
        <w:pStyle w:val="Normal"/>
        <w:rPr/>
      </w:pPr>
      <w:r>
        <w:rPr>
          <w:b/>
          <w:bCs/>
        </w:rPr>
        <w:t>Limitaciones de uso: </w:t>
      </w:r>
      <w:r>
        <w:rPr/>
        <w:t>Drenaje impedido.</w:t>
      </w:r>
    </w:p>
    <w:p>
      <w:pPr>
        <w:pStyle w:val="Normal"/>
        <w:rPr/>
      </w:pPr>
      <w:r>
        <w:rPr>
          <w:b/>
          <w:bCs/>
        </w:rPr>
        <w:t>Índice de productividad según la región climática:</w:t>
      </w:r>
      <w:r>
        <w:rPr/>
        <w:t> 65 (A), 62 (B).</w:t>
      </w:r>
    </w:p>
    <w:p>
      <w:pPr>
        <w:pStyle w:val="Normal"/>
        <w:rPr/>
      </w:pPr>
      <w:r>
        <w:rPr>
          <w:b/>
          <w:bCs/>
        </w:rPr>
        <w:t>Rasgos diagnósticos:</w:t>
      </w:r>
      <w:r>
        <w:rPr/>
        <w:t> Régimen de humedad údico, epipedón mólico, horizonte argílico con características vérticas (incremento de la fracción arcilla de más del 20 % dentro de 7,5 cm. de profundidad).</w:t>
      </w:r>
    </w:p>
    <w:p>
      <w:pPr>
        <w:pStyle w:val="Normal"/>
        <w:spacing w:before="0" w:after="0"/>
        <w:ind w:hanging="0"/>
        <w:jc w:val="left"/>
        <w:rPr>
          <w:rFonts w:ascii="Verdana" w:hAnsi="Verdana"/>
          <w:sz w:val="17"/>
          <w:szCs w:val="17"/>
        </w:rPr>
      </w:pPr>
      <w:r>
        <w:rPr>
          <w:rFonts w:ascii="Verdana" w:hAnsi="Verdana"/>
          <w:sz w:val="17"/>
          <w:szCs w:val="17"/>
        </w:rPr>
      </w:r>
    </w:p>
    <w:p>
      <w:pPr>
        <w:pStyle w:val="Normal"/>
        <w:rPr>
          <w:rFonts w:ascii="Verdana" w:hAnsi="Verdana"/>
          <w:sz w:val="17"/>
          <w:szCs w:val="17"/>
        </w:rPr>
      </w:pPr>
      <w:r>
        <w:rPr>
          <w:b/>
        </w:rPr>
        <w:t>DATOS ANALÍTICOS</w:t>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 w:type="dxa"/>
          <w:bottom w:w="0" w:type="dxa"/>
          <w:right w:w="0" w:type="dxa"/>
        </w:tblCellMar>
        <w:tblLook w:val="04a0"/>
      </w:tblPr>
      <w:tblGrid>
        <w:gridCol w:w="2732"/>
        <w:gridCol w:w="840"/>
        <w:gridCol w:w="862"/>
        <w:gridCol w:w="862"/>
        <w:gridCol w:w="861"/>
        <w:gridCol w:w="1041"/>
        <w:gridCol w:w="1220"/>
        <w:gridCol w:w="1218"/>
      </w:tblGrid>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HORIZONTES</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Ap</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AB</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Btss</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Bt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BC</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Profundidad (cm)</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0-13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13-27</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27-40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40-76</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76-131</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131-198</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198-220</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Mat. orgánica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4,27</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2,93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1,70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1,31</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0,58</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0,36</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0,13</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Carbono total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2,48</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1,70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0,99</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0,76</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0,34</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0,21</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0,08</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Nitrógeno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0,235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0,165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0,095</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0,073</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0,041</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Relación C/N</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8</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Fósforo (PPM)</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1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Arcilla &lt; 2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28,9</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31,7</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34,1</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56,5</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40,3</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38,5</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26,2</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Limo 2-20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Limo 2-50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66,4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64,2</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61,4</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39,6</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55,3</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56,7</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66,4</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AMF 50-75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AMF 75-100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AMF 50-100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3,7</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4,1</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3,7</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3,9</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4,4</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4,4</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AF 100-250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0,2</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0,5</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0,5</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AM 250-500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AG 500-1000 µ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AMG 1-2 mm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Calcáreo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0,0</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Eq.humedad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30,3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31,3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29,5</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45,5</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34,5</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35,5</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32,3</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Re.pasta.Ohms</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Cond. mmhos/cm</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pH en pasta</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5,6</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5,9</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6,3</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6,6</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7,6</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pH H</w:t>
            </w:r>
            <w:r>
              <w:rPr>
                <w:b/>
                <w:sz w:val="13"/>
                <w:szCs w:val="13"/>
                <w:vertAlign w:val="subscript"/>
              </w:rPr>
              <w:t>2</w:t>
            </w:r>
            <w:r>
              <w:rPr>
                <w:b/>
              </w:rPr>
              <w:t>O 1:2,5</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5,9</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6,4</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6,9</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7,4</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7,4</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8,3</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pH KCL 1:2,5</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w:t>
            </w:r>
          </w:p>
        </w:tc>
      </w:tr>
      <w:tr>
        <w:trPr>
          <w:trHeight w:val="225" w:hRule="atLeast"/>
        </w:trPr>
        <w:tc>
          <w:tcPr>
            <w:tcW w:w="9636" w:type="dxa"/>
            <w:gridSpan w:val="8"/>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CATIONES DE CAMBIO</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Ca++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14,9</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15,6</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14,8</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26,5</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20,9</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25,4</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25"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Mg++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3,0</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3,2</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6,2</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4,4</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5,0</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Na+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0,6</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0,8</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0,8</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0,8</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K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1,8</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1,2</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1,9</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2,2</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H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9,3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7,9</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6,0</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7,6</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4,2</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4,8</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exact"/>
        </w:trPr>
        <w:tc>
          <w:tcPr>
            <w:tcW w:w="9636" w:type="dxa"/>
            <w:gridSpan w:val="8"/>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sz w:val="24"/>
              </w:rPr>
            </w:pPr>
            <w:r>
              <w:rPr>
                <w:b/>
                <w:sz w:val="24"/>
              </w:rPr>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Na (% de T)</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1,6</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1,5</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2,6</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2,0</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2,7</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2,3</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V.S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20,1</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20,9</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19,8</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35,5</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28,0</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33,4</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CIC m.eq./100gr</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24,4</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25,1</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23,1</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38,5</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28,7</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34,2</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27,6</w:t>
            </w:r>
          </w:p>
        </w:tc>
      </w:tr>
      <w:tr>
        <w:trPr>
          <w:trHeight w:val="240" w:hRule="atLeast"/>
        </w:trPr>
        <w:tc>
          <w:tcPr>
            <w:tcW w:w="273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b/>
                <w:b/>
              </w:rPr>
            </w:pPr>
            <w:r>
              <w:rPr>
                <w:b/>
              </w:rPr>
              <w:t>Sat.con bases (%)</w:t>
            </w:r>
          </w:p>
        </w:tc>
        <w:tc>
          <w:tcPr>
            <w:tcW w:w="84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82</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83</w:t>
            </w:r>
          </w:p>
        </w:tc>
        <w:tc>
          <w:tcPr>
            <w:tcW w:w="8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86</w:t>
            </w:r>
          </w:p>
        </w:tc>
        <w:tc>
          <w:tcPr>
            <w:tcW w:w="86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92</w:t>
            </w:r>
          </w:p>
        </w:tc>
        <w:tc>
          <w:tcPr>
            <w:tcW w:w="104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98</w:t>
            </w:r>
          </w:p>
        </w:tc>
        <w:tc>
          <w:tcPr>
            <w:tcW w:w="1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98</w:t>
            </w:r>
          </w:p>
        </w:tc>
        <w:tc>
          <w:tcPr>
            <w:tcW w:w="12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pPr>
            <w:r>
              <w:rPr/>
              <w:t>NA</w:t>
            </w:r>
          </w:p>
        </w:tc>
      </w:tr>
      <w:tr>
        <w:trPr>
          <w:trHeight w:val="240" w:hRule="atLeast"/>
        </w:trPr>
        <w:tc>
          <w:tcPr>
            <w:tcW w:w="9636" w:type="dxa"/>
            <w:gridSpan w:val="8"/>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TablaImagenes"/>
              <w:rPr>
                <w:i/>
                <w:i/>
                <w:color w:val="auto"/>
              </w:rPr>
            </w:pPr>
            <w:r>
              <w:rPr>
                <w:i/>
                <w:color w:val="auto"/>
                <w:sz w:val="20"/>
              </w:rPr>
              <w:t>NA: No analizado</w:t>
            </w:r>
          </w:p>
        </w:tc>
      </w:tr>
    </w:tbl>
    <w:p>
      <w:pPr>
        <w:pStyle w:val="Normal"/>
        <w:rPr>
          <w:rFonts w:cs="Arial"/>
          <w:b/>
          <w:b/>
        </w:rPr>
      </w:pPr>
      <w:r>
        <w:rPr>
          <w:rFonts w:cs="Arial"/>
          <w:b/>
        </w:rPr>
      </w:r>
    </w:p>
    <w:p>
      <w:pPr>
        <w:pStyle w:val="Normal"/>
        <w:spacing w:before="0" w:after="0"/>
        <w:ind w:hanging="0"/>
        <w:jc w:val="left"/>
        <w:rPr>
          <w:rFonts w:cs="Arial"/>
          <w:b/>
          <w:b/>
        </w:rPr>
      </w:pPr>
      <w:r>
        <w:rPr>
          <w:rFonts w:cs="Arial"/>
          <w:b/>
        </w:rPr>
      </w:r>
      <w:r>
        <w:br w:type="page"/>
      </w:r>
    </w:p>
    <w:p>
      <w:pPr>
        <w:pStyle w:val="Ttulo2"/>
        <w:rPr>
          <w:rFonts w:ascii="Verdana" w:hAnsi="Verdana"/>
          <w:vanish/>
          <w:sz w:val="27"/>
          <w:szCs w:val="27"/>
        </w:rPr>
      </w:pPr>
      <w:bookmarkStart w:id="47" w:name="_Toc494448995"/>
      <w:bookmarkStart w:id="48" w:name="_Toc494448791"/>
      <w:r>
        <w:rPr/>
        <w:t>Perfil 3: Serie Saforcada (SS)</w:t>
      </w:r>
      <w:bookmarkEnd w:id="47"/>
      <w:bookmarkEnd w:id="48"/>
    </w:p>
    <w:p>
      <w:pPr>
        <w:pStyle w:val="Normal"/>
        <w:rPr/>
      </w:pPr>
      <w:r>
        <w:rPr/>
        <w:t>Es un suelo profundo, arenoso, con escaso desarrollo, de aptitud agrícola que se encuentra en un paisaje ondulado, ocupando algunas de las crestas de lomas y medias lomas de la Subregión Pampa Arenosa, algo excesivamente drenado, habiendo evolucionado sobre un sedimento eólico areno-francos y arenosos de origen medanoso, no alcalino, no salino con pendiente predominante de 0-1 % (hasta 3 % en pendientes muy cortas).</w:t>
      </w:r>
    </w:p>
    <w:p>
      <w:pPr>
        <w:pStyle w:val="Normal"/>
        <w:rPr>
          <w:b/>
          <w:b/>
          <w:bCs/>
        </w:rPr>
      </w:pPr>
      <w:r>
        <w:rPr>
          <w:b/>
          <w:bCs/>
        </w:rPr>
        <w:t>Clasificación Taxonómica</w:t>
      </w:r>
      <w:r>
        <w:rPr/>
        <w:t>: Hapludol Éntico, Franca gruesa; mixta, térmica (USDA- Soil Taxonomy V. 2006.</w:t>
      </w:r>
      <w:r>
        <w:rPr>
          <w:b/>
          <w:bCs/>
        </w:rPr>
        <w:t xml:space="preserve"> </w:t>
      </w:r>
    </w:p>
    <w:p>
      <w:pPr>
        <w:pStyle w:val="Normal"/>
        <w:rPr/>
      </w:pPr>
      <w:r>
        <w:rPr>
          <w:b/>
          <w:bCs/>
        </w:rPr>
        <w:t>Descripción del perfil típico:</w:t>
      </w:r>
      <w:r>
        <w:rPr/>
        <w:t> 12/1003 C. Fecha de extracción de muestras, 17 de mayo de 1967.</w:t>
      </w:r>
    </w:p>
    <w:p>
      <w:pPr>
        <w:pStyle w:val="Normal"/>
        <w:rPr/>
      </w:pPr>
      <w:r>
        <w:rPr/>
      </w:r>
    </w:p>
    <w:tbl>
      <w:tblPr>
        <w:tblW w:w="5000" w:type="pct"/>
        <w:jc w:val="left"/>
        <w:tblInd w:w="0" w:type="dxa"/>
        <w:tblBorders>
          <w:bottom w:val="single" w:sz="6" w:space="0" w:color="000000"/>
          <w:insideH w:val="single" w:sz="6" w:space="0" w:color="000000"/>
        </w:tblBorders>
        <w:tblCellMar>
          <w:top w:w="0" w:type="dxa"/>
          <w:left w:w="0" w:type="dxa"/>
          <w:bottom w:w="0" w:type="dxa"/>
          <w:right w:w="0" w:type="dxa"/>
        </w:tblCellMar>
        <w:tblLook w:val="04a0"/>
      </w:tblPr>
      <w:tblGrid>
        <w:gridCol w:w="549"/>
        <w:gridCol w:w="9088"/>
      </w:tblGrid>
      <w:tr>
        <w:trPr/>
        <w:tc>
          <w:tcPr>
            <w:tcW w:w="549" w:type="dxa"/>
            <w:tcBorders>
              <w:bottom w:val="single" w:sz="6" w:space="0" w:color="000000"/>
              <w:insideH w:val="single" w:sz="6" w:space="0" w:color="000000"/>
            </w:tcBorders>
            <w:shd w:fill="auto" w:val="clear"/>
            <w:vAlign w:val="center"/>
          </w:tcPr>
          <w:p>
            <w:pPr>
              <w:pStyle w:val="TablaImagenes"/>
              <w:rPr>
                <w:b/>
                <w:b/>
                <w:i/>
                <w:i/>
              </w:rPr>
            </w:pPr>
            <w:r>
              <w:rPr>
                <w:b/>
                <w:i/>
              </w:rPr>
              <w:t>Ap</w:t>
            </w:r>
          </w:p>
        </w:tc>
        <w:tc>
          <w:tcPr>
            <w:tcW w:w="9088" w:type="dxa"/>
            <w:tcBorders>
              <w:bottom w:val="single" w:sz="6" w:space="0" w:color="000000"/>
              <w:insideH w:val="single" w:sz="6" w:space="0" w:color="000000"/>
            </w:tcBorders>
            <w:shd w:fill="auto" w:val="clear"/>
            <w:vAlign w:val="center"/>
          </w:tcPr>
          <w:p>
            <w:pPr>
              <w:pStyle w:val="TablaImagenes"/>
              <w:jc w:val="both"/>
              <w:rPr/>
            </w:pPr>
            <w:r>
              <w:rPr/>
              <w:t>0-16 cm; pardo grisáceo muy oscuro (10YR 3/2) en húmedo; pardo grisáceo (10YR 5/2) en seco; areno franco; granular media moderada, que rompe a grano simple; muy friable a suelto; límite inferior abrupto, suave.</w:t>
            </w:r>
          </w:p>
        </w:tc>
      </w:tr>
      <w:tr>
        <w:trPr/>
        <w:tc>
          <w:tcPr>
            <w:tcW w:w="549" w:type="dxa"/>
            <w:tcBorders>
              <w:top w:val="single" w:sz="6" w:space="0" w:color="000000"/>
              <w:bottom w:val="single" w:sz="6" w:space="0" w:color="000000"/>
              <w:insideH w:val="single" w:sz="6" w:space="0" w:color="000000"/>
            </w:tcBorders>
            <w:shd w:fill="auto" w:val="clear"/>
            <w:vAlign w:val="center"/>
          </w:tcPr>
          <w:p>
            <w:pPr>
              <w:pStyle w:val="TablaImagenes"/>
              <w:rPr>
                <w:b/>
                <w:b/>
                <w:i/>
                <w:i/>
              </w:rPr>
            </w:pPr>
            <w:r>
              <w:rPr>
                <w:b/>
                <w:i/>
              </w:rPr>
              <w:t>A</w:t>
            </w:r>
          </w:p>
        </w:tc>
        <w:tc>
          <w:tcPr>
            <w:tcW w:w="9088" w:type="dxa"/>
            <w:tcBorders>
              <w:top w:val="single" w:sz="6" w:space="0" w:color="000000"/>
              <w:bottom w:val="single" w:sz="6" w:space="0" w:color="000000"/>
              <w:insideH w:val="single" w:sz="6" w:space="0" w:color="000000"/>
            </w:tcBorders>
            <w:shd w:fill="auto" w:val="clear"/>
            <w:vAlign w:val="center"/>
          </w:tcPr>
          <w:p>
            <w:pPr>
              <w:pStyle w:val="TablaImagenes"/>
              <w:jc w:val="both"/>
              <w:rPr/>
            </w:pPr>
            <w:r>
              <w:rPr/>
              <w:t>16-38 cm; pardo muy oscuro a pardo grisáceo muy oscuro (10YR 2.5/2) en húmedo; pardo grisáceo a pardo grisáceo oscuro (10YR 4.5/2) en seco; areno franco a franco arenoso; bloques angulares medios débiles que rompe a granular débil y a grano simple; muy friable; límite inferior claro, suave.</w:t>
            </w:r>
          </w:p>
        </w:tc>
      </w:tr>
      <w:tr>
        <w:trPr/>
        <w:tc>
          <w:tcPr>
            <w:tcW w:w="549" w:type="dxa"/>
            <w:tcBorders>
              <w:top w:val="single" w:sz="6" w:space="0" w:color="000000"/>
              <w:bottom w:val="single" w:sz="6" w:space="0" w:color="000000"/>
              <w:insideH w:val="single" w:sz="6" w:space="0" w:color="000000"/>
            </w:tcBorders>
            <w:shd w:fill="auto" w:val="clear"/>
            <w:vAlign w:val="center"/>
          </w:tcPr>
          <w:p>
            <w:pPr>
              <w:pStyle w:val="TablaImagenes"/>
              <w:rPr>
                <w:b/>
                <w:b/>
                <w:i/>
                <w:i/>
              </w:rPr>
            </w:pPr>
            <w:r>
              <w:rPr>
                <w:b/>
                <w:i/>
              </w:rPr>
              <w:t>AC</w:t>
            </w:r>
          </w:p>
        </w:tc>
        <w:tc>
          <w:tcPr>
            <w:tcW w:w="9088" w:type="dxa"/>
            <w:tcBorders>
              <w:top w:val="single" w:sz="6" w:space="0" w:color="000000"/>
              <w:bottom w:val="single" w:sz="6" w:space="0" w:color="000000"/>
              <w:insideH w:val="single" w:sz="6" w:space="0" w:color="000000"/>
            </w:tcBorders>
            <w:shd w:fill="auto" w:val="clear"/>
            <w:vAlign w:val="center"/>
          </w:tcPr>
          <w:p>
            <w:pPr>
              <w:pStyle w:val="TablaImagenes"/>
              <w:jc w:val="both"/>
              <w:rPr/>
            </w:pPr>
            <w:r>
              <w:rPr/>
              <w:t>38-73 cm; pardo oscuro (10YR 3.5/3) en húmedo; pardo (10YR 5/3) en seco; areno franco; bloques subangulares medios débiles que rompe a granular y a grano simple; muy friable a suelto; límite inferior claro, suave.</w:t>
            </w:r>
          </w:p>
        </w:tc>
      </w:tr>
      <w:tr>
        <w:trPr/>
        <w:tc>
          <w:tcPr>
            <w:tcW w:w="549" w:type="dxa"/>
            <w:tcBorders>
              <w:top w:val="single" w:sz="6" w:space="0" w:color="000000"/>
            </w:tcBorders>
            <w:shd w:fill="auto" w:val="clear"/>
            <w:vAlign w:val="center"/>
          </w:tcPr>
          <w:p>
            <w:pPr>
              <w:pStyle w:val="TablaImagenes"/>
              <w:rPr>
                <w:b/>
                <w:b/>
                <w:i/>
                <w:i/>
              </w:rPr>
            </w:pPr>
            <w:r>
              <w:rPr>
                <w:b/>
                <w:i/>
              </w:rPr>
              <w:t>C</w:t>
            </w:r>
          </w:p>
        </w:tc>
        <w:tc>
          <w:tcPr>
            <w:tcW w:w="9088" w:type="dxa"/>
            <w:tcBorders>
              <w:top w:val="single" w:sz="6" w:space="0" w:color="000000"/>
            </w:tcBorders>
            <w:shd w:fill="auto" w:val="clear"/>
            <w:vAlign w:val="center"/>
          </w:tcPr>
          <w:p>
            <w:pPr>
              <w:pStyle w:val="TablaImagenes"/>
              <w:jc w:val="both"/>
              <w:rPr/>
            </w:pPr>
            <w:r>
              <w:rPr/>
              <w:t>73-110 cm; pardo amarillento oscuro (10YR 3.5/4) en húmedo; pardo amarillento claro (10YR 6/4) en seco; areno franco a arenoso; bloques subangulares medios débiles y masivo, que rompen a grano simple; suelto.</w:t>
            </w:r>
          </w:p>
        </w:tc>
      </w:tr>
    </w:tbl>
    <w:p>
      <w:pPr>
        <w:pStyle w:val="Normal"/>
        <w:rPr/>
      </w:pPr>
      <w:r>
        <w:rPr/>
      </w:r>
    </w:p>
    <w:p>
      <w:pPr>
        <w:pStyle w:val="Normal"/>
        <w:rPr/>
      </w:pPr>
      <w:r>
        <w:rPr>
          <w:b/>
          <w:bCs/>
        </w:rPr>
        <w:t>Ubicación del perfil:</w:t>
      </w:r>
      <w:r>
        <w:rPr/>
        <w:t xml:space="preserve"> Latitud: S 34° 24’ 50’’. </w:t>
      </w:r>
      <w:r>
        <w:rPr>
          <w:lang w:val="en-US"/>
        </w:rPr>
        <w:t xml:space="preserve">Longitud: W 61º 05’ 08’’. </w:t>
      </w:r>
      <w:r>
        <w:rPr/>
        <w:t>Altitud: 95 m.s.n.m. a 5,3 km. al noroeste de la Estación Agustina, (F.C.G.S.M.) partido de Junín, provincia de Buenos Aires. Hoja I.G.M. 3560-7-2, Gral. Arenales, provincia de Buenos Aires.</w:t>
      </w:r>
    </w:p>
    <w:p>
      <w:pPr>
        <w:pStyle w:val="Normal"/>
        <w:rPr/>
      </w:pPr>
      <w:r>
        <w:rPr>
          <w:b/>
          <w:bCs/>
        </w:rPr>
        <w:t>Variabilidad de las características:</w:t>
      </w:r>
      <w:r>
        <w:rPr/>
        <w:t> El Epipedón mólico varía entre 25 y 38 cm. de espesor; pardo grisáceo muy oscuro y pardo oscuro (10YR 2/2 y 3/2) en húmedo; franco arenoso a areno franco, con 7 a 13 % de arcilla. Seguido de un horizonte AC, con 7 a 12 % de arcilla y 70 a 85 % de arenas, colores pardo oscuro y pardo amarillento oscuro (10YR 3/3) en húmedo; el C aparece entre 50 y 90 cm. de profundidad, pardo a pardo oscuro (10YR 3/4 y 4/4) en húmedo, con 7 a 9 % de arcilla y 76 a 85 % de arenas.</w:t>
      </w:r>
    </w:p>
    <w:p>
      <w:pPr>
        <w:pStyle w:val="Normal"/>
        <w:rPr/>
      </w:pPr>
      <w:r>
        <w:rPr>
          <w:b/>
          <w:bCs/>
        </w:rPr>
        <w:t>Fases:</w:t>
      </w:r>
      <w:r>
        <w:rPr/>
        <w:t> No se registraron.</w:t>
      </w:r>
    </w:p>
    <w:p>
      <w:pPr>
        <w:pStyle w:val="Normal"/>
        <w:rPr/>
      </w:pPr>
      <w:r>
        <w:rPr>
          <w:b/>
          <w:bCs/>
        </w:rPr>
        <w:t>Series Similares:</w:t>
      </w:r>
      <w:r>
        <w:rPr/>
        <w:t> Ninguna.</w:t>
      </w:r>
    </w:p>
    <w:p>
      <w:pPr>
        <w:pStyle w:val="Normal"/>
        <w:rPr/>
      </w:pPr>
      <w:r>
        <w:rPr>
          <w:b/>
          <w:bCs/>
        </w:rPr>
        <w:t>Suelos Asociados:</w:t>
      </w:r>
      <w:r>
        <w:rPr/>
        <w:t> Santa Isabel, Las Parvas, Fortín Tiburcio.</w:t>
      </w:r>
    </w:p>
    <w:p>
      <w:pPr>
        <w:pStyle w:val="Normal"/>
        <w:rPr/>
      </w:pPr>
      <w:r>
        <w:rPr>
          <w:b/>
          <w:bCs/>
        </w:rPr>
        <w:t>Distribución geográfica:</w:t>
      </w:r>
      <w:r>
        <w:rPr/>
        <w:t> Partidos de Junín, y Gral. Arenales, provincia de Buenos Aires. Fotomosaicos: 3560-8-3; 35607-2; 3560-7-4; 3560-1-3.</w:t>
      </w:r>
    </w:p>
    <w:p>
      <w:pPr>
        <w:pStyle w:val="Normal"/>
        <w:rPr/>
      </w:pPr>
      <w:r>
        <w:rPr>
          <w:b/>
          <w:bCs/>
        </w:rPr>
        <w:t>Drenaje y permeabilidad:</w:t>
      </w:r>
      <w:r>
        <w:rPr/>
        <w:t> Algo excesivamente drenado y suelo permeable (moderadamente rápida), con escurrimiento medio, sin peligro de anegamiento y nivel freático profundo.</w:t>
      </w:r>
    </w:p>
    <w:p>
      <w:pPr>
        <w:pStyle w:val="Normal"/>
        <w:rPr/>
      </w:pPr>
      <w:r>
        <w:rPr>
          <w:b/>
          <w:bCs/>
        </w:rPr>
        <w:t>Uso y vegetación: </w:t>
      </w:r>
      <w:r>
        <w:rPr/>
        <w:t>Campo arado; altamisa (Artemisia vulgaris), abrojo (Xanthium spinosum), sorgo de alepo (Sorghum halepense), roseta ssp.</w:t>
      </w:r>
    </w:p>
    <w:p>
      <w:pPr>
        <w:pStyle w:val="Normal"/>
        <w:rPr/>
      </w:pPr>
      <w:r>
        <w:rPr>
          <w:b/>
          <w:bCs/>
        </w:rPr>
        <w:t>Capacidad de uso:</w:t>
      </w:r>
      <w:r>
        <w:rPr/>
        <w:t> IV es.</w:t>
      </w:r>
    </w:p>
    <w:p>
      <w:pPr>
        <w:pStyle w:val="Normal"/>
        <w:rPr/>
      </w:pPr>
      <w:r>
        <w:rPr>
          <w:b/>
          <w:bCs/>
        </w:rPr>
        <w:t>Limitaciones de uso:</w:t>
      </w:r>
      <w:r>
        <w:rPr/>
        <w:t> Drenaje excesivo, peligro de erosión.</w:t>
      </w:r>
    </w:p>
    <w:p>
      <w:pPr>
        <w:pStyle w:val="Normal"/>
        <w:rPr/>
      </w:pPr>
      <w:r>
        <w:rPr>
          <w:b/>
          <w:bCs/>
        </w:rPr>
        <w:t>Indice de productividad: </w:t>
      </w:r>
      <w:r>
        <w:rPr/>
        <w:t>Según la región climática: 43,1 (A); 40,9 (B)</w:t>
      </w:r>
    </w:p>
    <w:p>
      <w:pPr>
        <w:pStyle w:val="Normal"/>
        <w:rPr/>
      </w:pPr>
      <w:r>
        <w:rPr>
          <w:b/>
          <w:bCs/>
        </w:rPr>
        <w:t>Rasgos Diagnósticos:</w:t>
      </w:r>
      <w:r>
        <w:rPr/>
        <w:t> Epipedón mólico (38 cm.), régimen de humedad údico, escaso desarrollo, no tiene horizonte B.</w:t>
      </w:r>
    </w:p>
    <w:p>
      <w:pPr>
        <w:pStyle w:val="Normal"/>
        <w:rPr/>
      </w:pPr>
      <w:r>
        <w:rPr>
          <w:rFonts w:ascii="Verdana" w:hAnsi="Verdana"/>
          <w:b/>
          <w:bCs/>
          <w:color w:val="auto"/>
          <w:sz w:val="17"/>
          <w:szCs w:val="17"/>
        </w:rPr>
        <w:t>DATOS ANALÍTICOS</w:t>
      </w:r>
    </w:p>
    <w:tbl>
      <w:tblPr>
        <w:tblW w:w="4950" w:type="pct"/>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0" w:type="dxa"/>
        </w:tblCellMar>
        <w:tblLook w:val="04a0"/>
      </w:tblPr>
      <w:tblGrid>
        <w:gridCol w:w="2270"/>
        <w:gridCol w:w="1818"/>
        <w:gridCol w:w="1816"/>
        <w:gridCol w:w="1817"/>
        <w:gridCol w:w="1820"/>
      </w:tblGrid>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HORIZONTES</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Ap</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AC</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Profundidad (cm)</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0-16</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16-38</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38-73</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73-140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Mat. orgánica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1,44</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1,19</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0,36</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0,15</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Carbono total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0,84</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0,69</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0,21</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0,09</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Nitrógeno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0,082</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0,064</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0,034</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NA</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Relación C/N</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NA</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Arcilla &lt; 2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8,5</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9,5</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8,8</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Limo 2-20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Limo 2-50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9,3</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9,5</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AMF 50-75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AMF 75-100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AMF 50-100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67,7</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66,4</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67,6</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69,4</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AF 100-250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14,5</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14,6</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15,6</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16,2</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AM 250-500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AG 500-1000 µ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AMG 1-2 mm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Calcáreo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0,0</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Eq.humedad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9,6</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10,3</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8,6</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7,3</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Re. pasta Ohms</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Cond. mmhos/cm</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pH en pasta</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5,7</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6,2</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6,8</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pH H</w:t>
            </w:r>
            <w:r>
              <w:rPr>
                <w:b/>
                <w:sz w:val="13"/>
                <w:szCs w:val="13"/>
                <w:vertAlign w:val="subscript"/>
              </w:rPr>
              <w:t>2</w:t>
            </w:r>
            <w:r>
              <w:rPr>
                <w:b/>
              </w:rPr>
              <w:t>O 1:2,5</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6,1</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6,7</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7,5</w:t>
            </w:r>
          </w:p>
        </w:tc>
      </w:tr>
      <w:tr>
        <w:trPr>
          <w:trHeight w:val="225"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pH KCL 1:2,5</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w:t>
            </w:r>
          </w:p>
        </w:tc>
      </w:tr>
      <w:tr>
        <w:trPr>
          <w:trHeight w:val="225" w:hRule="atLeast"/>
        </w:trPr>
        <w:tc>
          <w:tcPr>
            <w:tcW w:w="9541"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CATIONES DE CAMBIO</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Ca++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8,4</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6,4</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5,3</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Mg++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1,6</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2,9</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2,6</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Na+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0,2</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0,2</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0,3</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0,4</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K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0,9</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1,4</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H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5,4</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5,0</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3,1</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1,7</w:t>
            </w:r>
          </w:p>
        </w:tc>
      </w:tr>
      <w:tr>
        <w:trPr>
          <w:trHeight w:val="240" w:hRule="exact"/>
        </w:trPr>
        <w:tc>
          <w:tcPr>
            <w:tcW w:w="9541"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sz w:val="24"/>
              </w:rPr>
            </w:pPr>
            <w:r>
              <w:rPr>
                <w:b/>
                <w:sz w:val="24"/>
              </w:rPr>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Na (% de T)</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1,5</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2,7</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3,8</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Suma bases</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11,3</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9,5</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10,5</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9,7</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CIC m.eq./100gr</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12,9</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13,1</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11,0</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10,5</w:t>
            </w:r>
          </w:p>
        </w:tc>
      </w:tr>
      <w:tr>
        <w:trPr>
          <w:trHeight w:val="240" w:hRule="atLeast"/>
        </w:trPr>
        <w:tc>
          <w:tcPr>
            <w:tcW w:w="22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rPr>
            </w:pPr>
            <w:r>
              <w:rPr>
                <w:b/>
              </w:rPr>
              <w:t>Sat. con bases (%)</w:t>
            </w:r>
          </w:p>
        </w:tc>
        <w:tc>
          <w:tcPr>
            <w:tcW w:w="18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88</w:t>
            </w:r>
          </w:p>
        </w:tc>
        <w:tc>
          <w:tcPr>
            <w:tcW w:w="181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73</w:t>
            </w:r>
          </w:p>
        </w:tc>
        <w:tc>
          <w:tcPr>
            <w:tcW w:w="18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95</w:t>
            </w:r>
          </w:p>
        </w:tc>
        <w:tc>
          <w:tcPr>
            <w:tcW w:w="1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pPr>
            <w:r>
              <w:rPr/>
              <w:t>92</w:t>
            </w:r>
          </w:p>
        </w:tc>
      </w:tr>
      <w:tr>
        <w:trPr>
          <w:trHeight w:val="240" w:hRule="atLeast"/>
        </w:trPr>
        <w:tc>
          <w:tcPr>
            <w:tcW w:w="9541"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TablaImagenes"/>
              <w:rPr>
                <w:b/>
                <w:b/>
                <w:i/>
                <w:i/>
                <w:color w:val="auto"/>
              </w:rPr>
            </w:pPr>
            <w:r>
              <w:rPr>
                <w:b/>
                <w:i/>
                <w:color w:val="auto"/>
                <w:sz w:val="20"/>
              </w:rPr>
              <w:t>NA: No analizado</w:t>
            </w:r>
          </w:p>
        </w:tc>
      </w:tr>
    </w:tbl>
    <w:p>
      <w:pPr>
        <w:pStyle w:val="Normal"/>
        <w:spacing w:before="0" w:after="0"/>
        <w:ind w:hanging="0"/>
        <w:jc w:val="left"/>
        <w:rPr>
          <w:rFonts w:cs="Arial"/>
          <w:b/>
          <w:b/>
        </w:rPr>
      </w:pPr>
      <w:r>
        <w:rPr>
          <w:rFonts w:cs="Arial"/>
          <w:b/>
        </w:rPr>
      </w:r>
    </w:p>
    <w:p>
      <w:pPr>
        <w:pStyle w:val="Normal"/>
        <w:spacing w:before="0" w:after="0"/>
        <w:ind w:hanging="0"/>
        <w:jc w:val="left"/>
        <w:rPr>
          <w:rFonts w:cs="Arial"/>
          <w:b/>
          <w:b/>
        </w:rPr>
      </w:pPr>
      <w:r>
        <w:rPr>
          <w:rFonts w:cs="Arial"/>
          <w:b/>
        </w:rPr>
      </w:r>
      <w:r>
        <w:br w:type="page"/>
      </w:r>
    </w:p>
    <w:p>
      <w:pPr>
        <w:pStyle w:val="Ttulo1"/>
        <w:rPr/>
      </w:pPr>
      <w:bookmarkStart w:id="49" w:name="_Toc494448996"/>
      <w:bookmarkStart w:id="50" w:name="_Toc494448792"/>
      <w:bookmarkStart w:id="51" w:name="_MON_1391940255"/>
      <w:bookmarkEnd w:id="51"/>
      <w:r>
        <w:rPr>
          <w:caps w:val="false"/>
          <w:smallCaps w:val="false"/>
        </w:rPr>
        <w:t>PARTE II: DISEÑO DE ESTRUCTURAS. DIMENSIONAMIENTO DE DESAGÜES VEGETADOS Y CANAL DE GUARDA</w:t>
      </w:r>
      <w:bookmarkEnd w:id="49"/>
      <w:bookmarkEnd w:id="50"/>
    </w:p>
    <w:p>
      <w:pPr>
        <w:pStyle w:val="Ttulo2"/>
        <w:rPr/>
      </w:pPr>
      <w:bookmarkStart w:id="52" w:name="_Toc494448997"/>
      <w:bookmarkStart w:id="53" w:name="_Toc494448793"/>
      <w:r>
        <w:rPr/>
        <w:t>Ejercicio 1: Cálculo de Caudal</w:t>
      </w:r>
      <w:bookmarkEnd w:id="52"/>
      <w:bookmarkEnd w:id="53"/>
    </w:p>
    <w:p>
      <w:pPr>
        <w:pStyle w:val="Normal"/>
        <w:rPr/>
      </w:pPr>
      <w:r>
        <w:rPr/>
        <w:t xml:space="preserve">Aplicando el </w:t>
      </w:r>
      <w:r>
        <w:rPr>
          <w:b/>
          <w:bCs/>
        </w:rPr>
        <w:t xml:space="preserve">Método Racional de Ramser </w:t>
      </w:r>
      <w:r>
        <w:rPr/>
        <w:t>calcule el pico de escurrimiento (m</w:t>
      </w:r>
      <w:r>
        <w:rPr>
          <w:sz w:val="16"/>
          <w:szCs w:val="16"/>
          <w:vertAlign w:val="superscript"/>
        </w:rPr>
        <w:t>3</w:t>
      </w:r>
      <w:r>
        <w:rPr/>
        <w:t>/s) a la salida de una subcuenca próxima a la localidad de Tandil a los fines de diseñar un desagüe vegetado.</w:t>
      </w:r>
    </w:p>
    <w:p>
      <w:pPr>
        <w:pStyle w:val="Normal"/>
        <w:rPr>
          <w:b/>
          <w:b/>
          <w:u w:val="single"/>
        </w:rPr>
      </w:pPr>
      <w:r>
        <w:rPr>
          <w:b/>
          <w:u w:val="single"/>
        </w:rPr>
      </w:r>
    </w:p>
    <w:p>
      <w:pPr>
        <w:pStyle w:val="Normal"/>
        <w:rPr>
          <w:b/>
          <w:b/>
        </w:rPr>
      </w:pPr>
      <w:r>
        <w:rPr>
          <w:b/>
          <w:u w:val="single"/>
        </w:rPr>
        <w:t>DATOS</w:t>
      </w:r>
      <w:r>
        <w:rPr>
          <w:b/>
        </w:rPr>
        <w:t>:</w:t>
      </w:r>
    </w:p>
    <w:p>
      <w:pPr>
        <w:pStyle w:val="Vietaslineas"/>
        <w:numPr>
          <w:ilvl w:val="0"/>
          <w:numId w:val="4"/>
        </w:numPr>
        <w:ind w:left="0" w:hanging="0"/>
        <w:rPr/>
      </w:pPr>
      <w:r>
        <w:rPr/>
        <w:t>Localidad: Tandil</w:t>
      </w:r>
    </w:p>
    <w:p>
      <w:pPr>
        <w:pStyle w:val="Vietaslineas"/>
        <w:numPr>
          <w:ilvl w:val="0"/>
          <w:numId w:val="4"/>
        </w:numPr>
        <w:ind w:left="0" w:hanging="0"/>
        <w:rPr/>
      </w:pPr>
      <w:r>
        <w:rPr/>
        <w:t>Superficie de la subcuenca: 200 ha</w:t>
      </w:r>
    </w:p>
    <w:p>
      <w:pPr>
        <w:pStyle w:val="Vietaslineas"/>
        <w:numPr>
          <w:ilvl w:val="0"/>
          <w:numId w:val="4"/>
        </w:numPr>
        <w:ind w:left="0" w:hanging="0"/>
        <w:rPr/>
      </w:pPr>
      <w:r>
        <w:rPr/>
        <w:t>Longitud desde la salida hasta el punto más alejado: 1830 m</w:t>
      </w:r>
    </w:p>
    <w:p>
      <w:pPr>
        <w:pStyle w:val="Vietaslineas"/>
        <w:numPr>
          <w:ilvl w:val="0"/>
          <w:numId w:val="4"/>
        </w:numPr>
        <w:ind w:left="0" w:hanging="0"/>
        <w:rPr/>
      </w:pPr>
      <w:r>
        <w:rPr/>
        <w:t>Pendiente ponderada desde la salida hasta el punto más alejado: 2 %</w:t>
      </w:r>
    </w:p>
    <w:p>
      <w:pPr>
        <w:pStyle w:val="Vietaslineas"/>
        <w:numPr>
          <w:ilvl w:val="0"/>
          <w:numId w:val="4"/>
        </w:numPr>
        <w:ind w:left="0" w:hanging="0"/>
        <w:rPr/>
      </w:pPr>
      <w:r>
        <w:rPr/>
        <w:t>En 50 ha de la subcuenca: Cubierta por bosque sobre suelo de textura franco arenosa y relieve ondulado.</w:t>
      </w:r>
    </w:p>
    <w:p>
      <w:pPr>
        <w:pStyle w:val="Vietaslineas"/>
        <w:numPr>
          <w:ilvl w:val="0"/>
          <w:numId w:val="4"/>
        </w:numPr>
        <w:ind w:left="0" w:hanging="0"/>
        <w:rPr/>
      </w:pPr>
      <w:r>
        <w:rPr/>
        <w:t>En 150 ha de la subcuenca: con relieve plano y suelo de igual textura, de las cuales la mitad de la superficie está implantada con pasturas y el resto con cultivos.</w:t>
      </w:r>
    </w:p>
    <w:p>
      <w:pPr>
        <w:pStyle w:val="Normal"/>
        <w:rPr>
          <w:rFonts w:cs="Arial"/>
          <w:b/>
          <w:b/>
          <w:color w:val="FF0000"/>
        </w:rPr>
      </w:pPr>
      <w:r>
        <w:rPr>
          <w:rFonts w:cs="Arial"/>
          <w:color w:val="FF0000"/>
        </w:rPr>
        <w:t xml:space="preserve">Resolución: (50*0.25 +75*0.10 + 0.3*75)/200= (12.5 + 7.5 + 22.5)/200= 42.5/200= </w:t>
      </w:r>
      <w:r>
        <w:rPr>
          <w:rFonts w:cs="Arial"/>
          <w:b/>
          <w:color w:val="FF0000"/>
        </w:rPr>
        <w:t>0.2125= C</w:t>
      </w:r>
    </w:p>
    <w:p>
      <w:pPr>
        <w:pStyle w:val="Normal"/>
        <w:rPr>
          <w:b/>
          <w:b/>
        </w:rPr>
      </w:pPr>
      <w:r>
        <w:rPr>
          <w:b/>
        </w:rPr>
        <w:t>Fórmula Racional o de Ramser</w:t>
      </w:r>
    </w:p>
    <w:p>
      <w:pPr>
        <w:pStyle w:val="Normal"/>
        <w:rPr/>
      </w:pPr>
      <w:r>
        <w:rPr/>
      </w:r>
      <m:oMath xmlns:m="http://schemas.openxmlformats.org/officeDocument/2006/math">
        <m:r>
          <w:rPr>
            <w:rFonts w:ascii="Cambria Math" w:hAnsi="Cambria Math"/>
          </w:rPr>
          <m:t xml:space="preserve">Q</m:t>
        </m:r>
        <m:r>
          <w:rPr>
            <w:rFonts w:ascii="Cambria Math" w:hAnsi="Cambria Math"/>
          </w:rPr>
          <m:t xml:space="preserve">=</m:t>
        </m:r>
        <m:f>
          <m:num>
            <m:r>
              <w:rPr>
                <w:rFonts w:ascii="Cambria Math" w:hAnsi="Cambria Math"/>
              </w:rPr>
              <m:t xml:space="preserve">C</m:t>
            </m:r>
            <m:r>
              <w:rPr>
                <w:rFonts w:ascii="Cambria Math" w:hAnsi="Cambria Math"/>
              </w:rPr>
              <m:t xml:space="preserve">∗</m:t>
            </m:r>
            <m:r>
              <w:rPr>
                <w:rFonts w:ascii="Cambria Math" w:hAnsi="Cambria Math"/>
              </w:rPr>
              <m:t xml:space="preserve">I</m:t>
            </m:r>
            <m:r>
              <w:rPr>
                <w:rFonts w:ascii="Cambria Math" w:hAnsi="Cambria Math"/>
              </w:rPr>
              <m:t xml:space="preserve">∗</m:t>
            </m:r>
            <m:r>
              <w:rPr>
                <w:rFonts w:ascii="Cambria Math" w:hAnsi="Cambria Math"/>
              </w:rPr>
              <m:t xml:space="preserve">A</m:t>
            </m:r>
          </m:num>
          <m:den>
            <m:r>
              <w:rPr>
                <w:rFonts w:ascii="Cambria Math" w:hAnsi="Cambria Math"/>
              </w:rPr>
              <m:t xml:space="preserve">360</m:t>
            </m:r>
          </m:den>
        </m:f>
      </m:oMath>
    </w:p>
    <w:p>
      <w:pPr>
        <w:pStyle w:val="Normal"/>
        <w:rPr/>
      </w:pPr>
      <w:r>
        <w:rPr/>
        <w:t>Donde:</w:t>
      </w:r>
    </w:p>
    <w:p>
      <w:pPr>
        <w:pStyle w:val="Vietascrculos"/>
        <w:numPr>
          <w:ilvl w:val="0"/>
          <w:numId w:val="2"/>
        </w:numPr>
        <w:rPr/>
      </w:pPr>
      <w:r>
        <w:rPr/>
        <w:t>Q= pico de escurrimiento (m</w:t>
      </w:r>
      <w:r>
        <w:rPr>
          <w:sz w:val="16"/>
          <w:szCs w:val="16"/>
        </w:rPr>
        <w:t>3</w:t>
      </w:r>
      <w:r>
        <w:rPr/>
        <w:t>/s)</w:t>
      </w:r>
    </w:p>
    <w:p>
      <w:pPr>
        <w:pStyle w:val="Vietascrculos"/>
        <w:numPr>
          <w:ilvl w:val="0"/>
          <w:numId w:val="2"/>
        </w:numPr>
        <w:rPr/>
      </w:pPr>
      <w:r>
        <w:rPr/>
        <w:t>C= coeficiente de escurrimiento (adimensional)</w:t>
      </w:r>
    </w:p>
    <w:p>
      <w:pPr>
        <w:pStyle w:val="Vietascrculos"/>
        <w:numPr>
          <w:ilvl w:val="0"/>
          <w:numId w:val="2"/>
        </w:numPr>
        <w:rPr/>
      </w:pPr>
      <w:r>
        <w:rPr/>
        <w:t>I= intensidad de la lluvia (mm/h)</w:t>
      </w:r>
    </w:p>
    <w:p>
      <w:pPr>
        <w:pStyle w:val="Vietascrculos"/>
        <w:numPr>
          <w:ilvl w:val="0"/>
          <w:numId w:val="2"/>
        </w:numPr>
        <w:rPr/>
      </w:pPr>
      <w:r>
        <w:rPr/>
        <w:t>A= área de la cuenca (ha)</w:t>
      </w:r>
    </w:p>
    <w:p>
      <w:pPr>
        <w:pStyle w:val="Normal"/>
        <w:rPr>
          <w:rFonts w:cs="Arial"/>
        </w:rPr>
      </w:pPr>
      <w:r>
        <w:rPr>
          <w:rFonts w:cs="Arial"/>
        </w:rPr>
        <w:t>Para la estimación del coeficiente C, existen varias tablas de diferentes autores, la tabla 1 es un ejemplo de ellas.</w:t>
      </w:r>
    </w:p>
    <w:p>
      <w:pPr>
        <w:pStyle w:val="Normal"/>
        <w:rPr/>
      </w:pPr>
      <w:r>
        <w:rPr/>
      </w:r>
    </w:p>
    <w:p>
      <w:pPr>
        <w:pStyle w:val="Normal"/>
        <w:rPr/>
      </w:pPr>
      <w:r>
        <w:rPr/>
        <w:t>Tabla 1. Coeficientes de escurrimiento según Schwab et al. ( 1990)</w:t>
      </w:r>
    </w:p>
    <w:tbl>
      <w:tblPr>
        <w:tblStyle w:val="Manejo"/>
        <w:tblW w:w="5000" w:type="pct"/>
        <w:jc w:val="left"/>
        <w:tblInd w:w="0" w:type="dxa"/>
        <w:tblBorders>
          <w:bottom w:val="single" w:sz="4" w:space="0" w:color="000000"/>
          <w:insideH w:val="single" w:sz="4" w:space="0" w:color="000000"/>
        </w:tblBorders>
        <w:tblCellMar>
          <w:top w:w="0" w:type="dxa"/>
          <w:left w:w="108" w:type="dxa"/>
          <w:bottom w:w="0" w:type="dxa"/>
          <w:right w:w="108" w:type="dxa"/>
        </w:tblCellMar>
        <w:tblLook w:val="04a0"/>
      </w:tblPr>
      <w:tblGrid>
        <w:gridCol w:w="1235"/>
        <w:gridCol w:w="2582"/>
        <w:gridCol w:w="1"/>
        <w:gridCol w:w="2221"/>
        <w:gridCol w:w="1"/>
        <w:gridCol w:w="2271"/>
        <w:gridCol w:w="1"/>
        <w:gridCol w:w="1326"/>
      </w:tblGrid>
      <w:tr>
        <w:trPr/>
        <w:tc>
          <w:tcPr>
            <w:tcW w:w="3817" w:type="dxa"/>
            <w:gridSpan w:val="2"/>
            <w:vMerge w:val="restart"/>
            <w:tcBorders>
              <w:bottom w:val="single" w:sz="4" w:space="0" w:color="000000"/>
              <w:insideH w:val="single" w:sz="4" w:space="0" w:color="000000"/>
            </w:tcBorders>
            <w:shd w:fill="auto" w:val="clear"/>
            <w:vAlign w:val="center"/>
          </w:tcPr>
          <w:p>
            <w:pPr>
              <w:pStyle w:val="TablaImagenes"/>
              <w:spacing w:lineRule="auto" w:line="276"/>
              <w:jc w:val="center"/>
              <w:rPr>
                <w:b/>
                <w:b/>
              </w:rPr>
            </w:pPr>
            <w:r>
              <w:rPr>
                <w:b/>
                <w:color w:val="000000"/>
                <w:lang w:eastAsia="en-US"/>
              </w:rPr>
              <w:t>Condiciones de Relieve</w:t>
            </w:r>
          </w:p>
          <w:p>
            <w:pPr>
              <w:pStyle w:val="TablaImagenes"/>
              <w:spacing w:lineRule="auto" w:line="276"/>
              <w:jc w:val="center"/>
              <w:rPr>
                <w:b/>
                <w:b/>
              </w:rPr>
            </w:pPr>
            <w:r>
              <w:rPr>
                <w:b/>
                <w:color w:val="000000"/>
                <w:lang w:eastAsia="en-US"/>
              </w:rPr>
              <w:t>y Vegetación</w:t>
            </w:r>
          </w:p>
        </w:tc>
        <w:tc>
          <w:tcPr>
            <w:tcW w:w="5821" w:type="dxa"/>
            <w:gridSpan w:val="6"/>
            <w:tcBorders>
              <w:bottom w:val="single" w:sz="4" w:space="0" w:color="000000"/>
              <w:insideH w:val="single" w:sz="4" w:space="0" w:color="000000"/>
            </w:tcBorders>
            <w:shd w:fill="auto" w:val="clear"/>
            <w:vAlign w:val="center"/>
          </w:tcPr>
          <w:p>
            <w:pPr>
              <w:pStyle w:val="TablaImagenes"/>
              <w:spacing w:lineRule="auto" w:line="276"/>
              <w:jc w:val="center"/>
              <w:rPr>
                <w:b/>
                <w:b/>
              </w:rPr>
            </w:pPr>
            <w:r>
              <w:rPr>
                <w:b/>
                <w:color w:val="000000"/>
                <w:lang w:eastAsia="en-US"/>
              </w:rPr>
              <w:t>Textura</w:t>
            </w:r>
          </w:p>
        </w:tc>
      </w:tr>
      <w:tr>
        <w:trPr/>
        <w:tc>
          <w:tcPr>
            <w:tcW w:w="3817" w:type="dxa"/>
            <w:gridSpan w:val="2"/>
            <w:vMerge w:val="continue"/>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r>
          </w:p>
        </w:tc>
        <w:tc>
          <w:tcPr>
            <w:tcW w:w="222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b/>
                <w:b/>
                <w:i/>
                <w:i/>
              </w:rPr>
            </w:pPr>
            <w:r>
              <w:rPr>
                <w:b/>
                <w:i/>
                <w:color w:val="000000"/>
                <w:lang w:eastAsia="en-US"/>
              </w:rPr>
              <w:t>Franco-Arenoso</w:t>
            </w:r>
          </w:p>
        </w:tc>
        <w:tc>
          <w:tcPr>
            <w:tcW w:w="227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b/>
                <w:b/>
                <w:i/>
                <w:i/>
              </w:rPr>
            </w:pPr>
            <w:r>
              <w:rPr>
                <w:b/>
                <w:i/>
                <w:color w:val="000000"/>
                <w:lang w:eastAsia="en-US"/>
              </w:rPr>
              <w:t>Franco-Limoso y</w:t>
            </w:r>
          </w:p>
          <w:p>
            <w:pPr>
              <w:pStyle w:val="TablaImagenes"/>
              <w:spacing w:lineRule="auto" w:line="276"/>
              <w:jc w:val="center"/>
              <w:rPr>
                <w:b/>
                <w:b/>
                <w:i/>
                <w:i/>
              </w:rPr>
            </w:pPr>
            <w:r>
              <w:rPr>
                <w:b/>
                <w:i/>
                <w:color w:val="000000"/>
                <w:lang w:eastAsia="en-US"/>
              </w:rPr>
              <w:t>Franco-Arcilloso</w:t>
            </w:r>
          </w:p>
        </w:tc>
        <w:tc>
          <w:tcPr>
            <w:tcW w:w="1327"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b/>
                <w:b/>
                <w:i/>
                <w:i/>
              </w:rPr>
            </w:pPr>
            <w:r>
              <w:rPr>
                <w:b/>
                <w:i/>
                <w:color w:val="000000"/>
                <w:lang w:eastAsia="en-US"/>
              </w:rPr>
              <w:t>Arcilloso</w:t>
            </w:r>
          </w:p>
        </w:tc>
      </w:tr>
      <w:tr>
        <w:trPr/>
        <w:tc>
          <w:tcPr>
            <w:tcW w:w="1235" w:type="dxa"/>
            <w:vMerge w:val="restart"/>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i/>
                <w:i/>
              </w:rPr>
            </w:pPr>
            <w:r>
              <w:rPr>
                <w:i/>
                <w:color w:val="000000"/>
                <w:lang w:eastAsia="en-US"/>
              </w:rPr>
              <w:t>BOSQUE</w:t>
            </w:r>
          </w:p>
          <w:p>
            <w:pPr>
              <w:pStyle w:val="TablaImagenes"/>
              <w:spacing w:lineRule="auto" w:line="276"/>
              <w:jc w:val="center"/>
              <w:rPr>
                <w:i/>
                <w:i/>
              </w:rPr>
            </w:pPr>
            <w:r>
              <w:rPr>
                <w:i/>
                <w:color w:val="000000"/>
                <w:lang w:eastAsia="en-US"/>
              </w:rPr>
              <w:t>O</w:t>
            </w:r>
          </w:p>
          <w:p>
            <w:pPr>
              <w:pStyle w:val="TablaImagenes"/>
              <w:spacing w:lineRule="auto" w:line="276"/>
              <w:jc w:val="center"/>
              <w:rPr>
                <w:i/>
                <w:i/>
              </w:rPr>
            </w:pPr>
            <w:r>
              <w:rPr>
                <w:i/>
                <w:color w:val="000000"/>
                <w:lang w:eastAsia="en-US"/>
              </w:rPr>
              <w:t>MONTE</w:t>
            </w:r>
          </w:p>
        </w:tc>
        <w:tc>
          <w:tcPr>
            <w:tcW w:w="2583"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Plano (0-5 %)</w:t>
            </w:r>
          </w:p>
        </w:tc>
        <w:tc>
          <w:tcPr>
            <w:tcW w:w="222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0,10</w:t>
            </w:r>
          </w:p>
        </w:tc>
        <w:tc>
          <w:tcPr>
            <w:tcW w:w="227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0,30</w:t>
            </w:r>
          </w:p>
        </w:tc>
        <w:tc>
          <w:tcPr>
            <w:tcW w:w="1326" w:type="dxa"/>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0,40</w:t>
            </w:r>
          </w:p>
        </w:tc>
      </w:tr>
      <w:tr>
        <w:trPr/>
        <w:tc>
          <w:tcPr>
            <w:tcW w:w="1235" w:type="dxa"/>
            <w:vMerge w:val="continue"/>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i/>
                <w:i/>
                <w:color w:val="000000"/>
                <w:lang w:eastAsia="en-US"/>
              </w:rPr>
            </w:pPr>
            <w:r>
              <w:rPr>
                <w:i/>
                <w:color w:val="000000"/>
                <w:lang w:eastAsia="en-US"/>
              </w:rPr>
            </w:r>
          </w:p>
        </w:tc>
        <w:tc>
          <w:tcPr>
            <w:tcW w:w="2583"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Ondulado (5-10%)</w:t>
            </w:r>
          </w:p>
        </w:tc>
        <w:tc>
          <w:tcPr>
            <w:tcW w:w="222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0,25</w:t>
            </w:r>
          </w:p>
        </w:tc>
        <w:tc>
          <w:tcPr>
            <w:tcW w:w="227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0,35</w:t>
            </w:r>
          </w:p>
        </w:tc>
        <w:tc>
          <w:tcPr>
            <w:tcW w:w="1326"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0,50</w:t>
            </w:r>
          </w:p>
        </w:tc>
      </w:tr>
      <w:tr>
        <w:trPr/>
        <w:tc>
          <w:tcPr>
            <w:tcW w:w="1235" w:type="dxa"/>
            <w:vMerge w:val="continue"/>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i/>
                <w:i/>
                <w:color w:val="000000"/>
                <w:lang w:eastAsia="en-US"/>
              </w:rPr>
            </w:pPr>
            <w:r>
              <w:rPr>
                <w:i/>
                <w:color w:val="000000"/>
                <w:lang w:eastAsia="en-US"/>
              </w:rPr>
            </w:r>
          </w:p>
        </w:tc>
        <w:tc>
          <w:tcPr>
            <w:tcW w:w="2583"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Colinado (10-30 %)</w:t>
            </w:r>
          </w:p>
        </w:tc>
        <w:tc>
          <w:tcPr>
            <w:tcW w:w="222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0,30</w:t>
            </w:r>
          </w:p>
        </w:tc>
        <w:tc>
          <w:tcPr>
            <w:tcW w:w="227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0,50</w:t>
            </w:r>
          </w:p>
        </w:tc>
        <w:tc>
          <w:tcPr>
            <w:tcW w:w="1326" w:type="dxa"/>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0,60</w:t>
            </w:r>
          </w:p>
        </w:tc>
      </w:tr>
      <w:tr>
        <w:trPr/>
        <w:tc>
          <w:tcPr>
            <w:tcW w:w="1235" w:type="dxa"/>
            <w:vMerge w:val="restart"/>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i/>
                <w:i/>
              </w:rPr>
            </w:pPr>
            <w:r>
              <w:rPr>
                <w:i/>
                <w:color w:val="000000"/>
                <w:lang w:eastAsia="en-US"/>
              </w:rPr>
              <w:t>PASTURA</w:t>
            </w:r>
          </w:p>
        </w:tc>
        <w:tc>
          <w:tcPr>
            <w:tcW w:w="2583"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Plano (0-5 %)</w:t>
            </w:r>
          </w:p>
        </w:tc>
        <w:tc>
          <w:tcPr>
            <w:tcW w:w="222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0,10</w:t>
            </w:r>
          </w:p>
        </w:tc>
        <w:tc>
          <w:tcPr>
            <w:tcW w:w="227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0,30</w:t>
            </w:r>
          </w:p>
        </w:tc>
        <w:tc>
          <w:tcPr>
            <w:tcW w:w="1326" w:type="dxa"/>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0,40</w:t>
            </w:r>
          </w:p>
        </w:tc>
      </w:tr>
      <w:tr>
        <w:trPr/>
        <w:tc>
          <w:tcPr>
            <w:tcW w:w="1235" w:type="dxa"/>
            <w:vMerge w:val="continue"/>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i/>
                <w:i/>
                <w:color w:val="000000"/>
                <w:lang w:eastAsia="en-US"/>
              </w:rPr>
            </w:pPr>
            <w:r>
              <w:rPr>
                <w:i/>
                <w:color w:val="000000"/>
                <w:lang w:eastAsia="en-US"/>
              </w:rPr>
            </w:r>
          </w:p>
        </w:tc>
        <w:tc>
          <w:tcPr>
            <w:tcW w:w="2583"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Ondulado (5-10%)</w:t>
            </w:r>
          </w:p>
        </w:tc>
        <w:tc>
          <w:tcPr>
            <w:tcW w:w="222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0,16</w:t>
            </w:r>
          </w:p>
        </w:tc>
        <w:tc>
          <w:tcPr>
            <w:tcW w:w="227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0,36</w:t>
            </w:r>
          </w:p>
        </w:tc>
        <w:tc>
          <w:tcPr>
            <w:tcW w:w="1326"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0,55</w:t>
            </w:r>
          </w:p>
        </w:tc>
      </w:tr>
      <w:tr>
        <w:trPr/>
        <w:tc>
          <w:tcPr>
            <w:tcW w:w="1235" w:type="dxa"/>
            <w:vMerge w:val="continue"/>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i/>
                <w:i/>
                <w:color w:val="000000"/>
                <w:lang w:eastAsia="en-US"/>
              </w:rPr>
            </w:pPr>
            <w:r>
              <w:rPr>
                <w:i/>
                <w:color w:val="000000"/>
                <w:lang w:eastAsia="en-US"/>
              </w:rPr>
            </w:r>
          </w:p>
        </w:tc>
        <w:tc>
          <w:tcPr>
            <w:tcW w:w="2583"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Colinado (10-30 %)</w:t>
            </w:r>
          </w:p>
        </w:tc>
        <w:tc>
          <w:tcPr>
            <w:tcW w:w="222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0,22</w:t>
            </w:r>
          </w:p>
        </w:tc>
        <w:tc>
          <w:tcPr>
            <w:tcW w:w="227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0,42</w:t>
            </w:r>
          </w:p>
        </w:tc>
        <w:tc>
          <w:tcPr>
            <w:tcW w:w="1326" w:type="dxa"/>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0,60</w:t>
            </w:r>
          </w:p>
        </w:tc>
      </w:tr>
      <w:tr>
        <w:trPr/>
        <w:tc>
          <w:tcPr>
            <w:tcW w:w="1235" w:type="dxa"/>
            <w:vMerge w:val="restart"/>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i/>
                <w:i/>
              </w:rPr>
            </w:pPr>
            <w:r>
              <w:rPr>
                <w:i/>
                <w:color w:val="000000"/>
                <w:lang w:eastAsia="en-US"/>
              </w:rPr>
              <w:t>CULTIVADO</w:t>
            </w:r>
          </w:p>
        </w:tc>
        <w:tc>
          <w:tcPr>
            <w:tcW w:w="2583"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Plano (0-5 %)</w:t>
            </w:r>
          </w:p>
        </w:tc>
        <w:tc>
          <w:tcPr>
            <w:tcW w:w="222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0,30</w:t>
            </w:r>
          </w:p>
        </w:tc>
        <w:tc>
          <w:tcPr>
            <w:tcW w:w="2272" w:type="dxa"/>
            <w:gridSpan w:val="2"/>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0,50</w:t>
            </w:r>
          </w:p>
        </w:tc>
        <w:tc>
          <w:tcPr>
            <w:tcW w:w="1326" w:type="dxa"/>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0,60</w:t>
            </w:r>
          </w:p>
        </w:tc>
      </w:tr>
      <w:tr>
        <w:trPr/>
        <w:tc>
          <w:tcPr>
            <w:tcW w:w="1235" w:type="dxa"/>
            <w:vMerge w:val="continue"/>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r>
          </w:p>
        </w:tc>
        <w:tc>
          <w:tcPr>
            <w:tcW w:w="2583"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Ondulado (5-10%)</w:t>
            </w:r>
          </w:p>
        </w:tc>
        <w:tc>
          <w:tcPr>
            <w:tcW w:w="222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0,40</w:t>
            </w:r>
          </w:p>
        </w:tc>
        <w:tc>
          <w:tcPr>
            <w:tcW w:w="2272" w:type="dxa"/>
            <w:gridSpan w:val="2"/>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0,60</w:t>
            </w:r>
          </w:p>
        </w:tc>
        <w:tc>
          <w:tcPr>
            <w:tcW w:w="1326"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0,70</w:t>
            </w:r>
          </w:p>
        </w:tc>
      </w:tr>
      <w:tr>
        <w:trPr/>
        <w:tc>
          <w:tcPr>
            <w:tcW w:w="1235" w:type="dxa"/>
            <w:vMerge w:val="continue"/>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r>
          </w:p>
        </w:tc>
        <w:tc>
          <w:tcPr>
            <w:tcW w:w="2583"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Colinado (10-30 %)</w:t>
            </w:r>
          </w:p>
        </w:tc>
        <w:tc>
          <w:tcPr>
            <w:tcW w:w="222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0,52</w:t>
            </w:r>
          </w:p>
        </w:tc>
        <w:tc>
          <w:tcPr>
            <w:tcW w:w="2272" w:type="dxa"/>
            <w:gridSpan w:val="2"/>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0,72</w:t>
            </w:r>
          </w:p>
        </w:tc>
        <w:tc>
          <w:tcPr>
            <w:tcW w:w="1326" w:type="dxa"/>
            <w:tcBorders>
              <w:top w:val="single" w:sz="4" w:space="0" w:color="000000"/>
              <w:bottom w:val="double" w:sz="4" w:space="0" w:color="000000"/>
              <w:insideH w:val="doub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0,82</w:t>
            </w:r>
          </w:p>
        </w:tc>
      </w:tr>
    </w:tbl>
    <w:p>
      <w:pPr>
        <w:pStyle w:val="Normal"/>
        <w:rPr/>
      </w:pPr>
      <w:r>
        <w:rPr/>
      </w:r>
    </w:p>
    <w:p>
      <w:pPr>
        <w:pStyle w:val="Normal"/>
        <w:rPr>
          <w:b/>
          <w:b/>
        </w:rPr>
      </w:pPr>
      <w:r>
        <w:rPr>
          <w:b/>
        </w:rPr>
      </w:r>
    </w:p>
    <w:p>
      <w:pPr>
        <w:pStyle w:val="Normal"/>
        <w:rPr>
          <w:b/>
          <w:b/>
        </w:rPr>
      </w:pPr>
      <w:r>
        <w:rPr>
          <w:b/>
        </w:rPr>
        <w:t>Formula de Kirpich</w:t>
      </w:r>
    </w:p>
    <w:p>
      <w:pPr>
        <w:pStyle w:val="Normal"/>
        <w:rPr>
          <w:rFonts w:cs="Arial"/>
        </w:rPr>
      </w:pPr>
      <w:r>
        <w:rPr/>
      </w:r>
      <m:oMath xmlns:m="http://schemas.openxmlformats.org/officeDocument/2006/math">
        <m:r>
          <w:rPr>
            <w:rFonts w:ascii="Cambria Math" w:hAnsi="Cambria Math"/>
          </w:rPr>
          <m:t xml:space="preserve">Tc</m:t>
        </m:r>
        <m:r>
          <w:rPr>
            <w:rFonts w:ascii="Cambria Math" w:hAnsi="Cambria Math"/>
          </w:rPr>
          <m:t xml:space="preserve">=</m:t>
        </m:r>
        <m:r>
          <w:rPr>
            <w:rFonts w:ascii="Cambria Math" w:hAnsi="Cambria Math"/>
          </w:rPr>
          <m:t xml:space="preserve">0,02</m:t>
        </m:r>
        <m:r>
          <w:rPr>
            <w:rFonts w:ascii="Cambria Math" w:hAnsi="Cambria Math"/>
          </w:rPr>
          <m:t xml:space="preserve">∗</m:t>
        </m:r>
        <m:sSup>
          <m:e>
            <m:r>
              <w:rPr>
                <w:rFonts w:ascii="Cambria Math" w:hAnsi="Cambria Math"/>
              </w:rPr>
              <m:t xml:space="preserve">L</m:t>
            </m:r>
          </m:e>
          <m:sup>
            <m:r>
              <w:rPr>
                <w:rFonts w:ascii="Cambria Math" w:hAnsi="Cambria Math"/>
              </w:rPr>
              <m:t xml:space="preserve">0,77</m:t>
            </m:r>
          </m:sup>
        </m:sSup>
        <m:r>
          <w:rPr>
            <w:rFonts w:ascii="Cambria Math" w:hAnsi="Cambria Math"/>
          </w:rPr>
          <m:t xml:space="preserve">∗</m:t>
        </m:r>
        <m:sSup>
          <m:e>
            <m:r>
              <w:rPr>
                <w:rFonts w:ascii="Cambria Math" w:hAnsi="Cambria Math"/>
              </w:rPr>
              <m:t xml:space="preserve">S</m:t>
            </m:r>
          </m:e>
          <m:sup>
            <m:r>
              <w:rPr>
                <w:rFonts w:ascii="Cambria Math" w:hAnsi="Cambria Math"/>
              </w:rPr>
              <m:t xml:space="preserve">−</m:t>
            </m:r>
            <m:r>
              <w:rPr>
                <w:rFonts w:ascii="Cambria Math" w:hAnsi="Cambria Math"/>
              </w:rPr>
              <m:t xml:space="preserve">0,386</m:t>
            </m:r>
          </m:sup>
        </m:sSup>
      </m:oMath>
    </w:p>
    <w:p>
      <w:pPr>
        <w:pStyle w:val="Normal"/>
        <w:rPr>
          <w:rFonts w:cs="Arial"/>
          <w:color w:val="FF0000"/>
        </w:rPr>
      </w:pPr>
      <w:r>
        <w:rPr>
          <w:rFonts w:cs="Arial"/>
          <w:color w:val="FF0000"/>
        </w:rPr>
        <w:t xml:space="preserve">Respuesta: 0.02*1830 </w:t>
      </w:r>
      <w:r>
        <w:rPr>
          <w:rFonts w:cs="Arial"/>
          <w:color w:val="FF0000"/>
          <w:vertAlign w:val="superscript"/>
        </w:rPr>
        <w:t>0.77</w:t>
      </w:r>
      <w:r>
        <w:rPr>
          <w:rFonts w:cs="Arial"/>
          <w:color w:val="FF0000"/>
        </w:rPr>
        <w:t xml:space="preserve">*0.02 </w:t>
      </w:r>
      <w:r>
        <w:rPr>
          <w:rFonts w:cs="Arial"/>
          <w:color w:val="FF0000"/>
          <w:vertAlign w:val="superscript"/>
        </w:rPr>
        <w:t>-0.386</w:t>
      </w:r>
      <w:r>
        <w:rPr>
          <w:rFonts w:cs="Arial"/>
          <w:color w:val="FF0000"/>
        </w:rPr>
        <w:t>= 0.02*325.15*4.52= 29 min</w:t>
      </w:r>
    </w:p>
    <w:p>
      <w:pPr>
        <w:pStyle w:val="Normal"/>
        <w:rPr/>
      </w:pPr>
      <w:r>
        <w:rPr/>
        <w:t>Donde:</w:t>
      </w:r>
    </w:p>
    <w:p>
      <w:pPr>
        <w:pStyle w:val="Vietascrculos"/>
        <w:numPr>
          <w:ilvl w:val="0"/>
          <w:numId w:val="2"/>
        </w:numPr>
        <w:rPr/>
      </w:pPr>
      <w:r>
        <w:rPr/>
        <w:t>Tc= Tiempo de concentración (minutos)</w:t>
      </w:r>
    </w:p>
    <w:p>
      <w:pPr>
        <w:pStyle w:val="Vietascrculos"/>
        <w:numPr>
          <w:ilvl w:val="0"/>
          <w:numId w:val="2"/>
        </w:numPr>
        <w:rPr/>
      </w:pPr>
      <w:r>
        <w:rPr/>
        <w:t>L= Longitud máxima de la cuenca (m)</w:t>
      </w:r>
    </w:p>
    <w:p>
      <w:pPr>
        <w:pStyle w:val="Vietascrculos"/>
        <w:numPr>
          <w:ilvl w:val="0"/>
          <w:numId w:val="2"/>
        </w:numPr>
        <w:rPr/>
      </w:pPr>
      <w:r>
        <mc:AlternateContent>
          <mc:Choice Requires="wps">
            <w:drawing>
              <wp:anchor behindDoc="0" distT="0" distB="0" distL="114300" distR="114300" simplePos="0" locked="0" layoutInCell="1" allowOverlap="1" relativeHeight="4">
                <wp:simplePos x="0" y="0"/>
                <wp:positionH relativeFrom="column">
                  <wp:posOffset>-709930</wp:posOffset>
                </wp:positionH>
                <wp:positionV relativeFrom="paragraph">
                  <wp:posOffset>1054100</wp:posOffset>
                </wp:positionV>
                <wp:extent cx="7480300" cy="6109335"/>
                <wp:effectExtent l="0" t="685800" r="0" b="673100"/>
                <wp:wrapTopAndBottom/>
                <wp:docPr id="14" name="Imagen 34" descr="Tandil"/>
                <a:graphic xmlns:a="http://schemas.openxmlformats.org/drawingml/2006/main">
                  <a:graphicData uri="http://schemas.openxmlformats.org/drawingml/2006/picture">
                    <pic:pic xmlns:pic="http://schemas.openxmlformats.org/drawingml/2006/picture">
                      <pic:nvPicPr>
                        <pic:cNvPr id="0" name="Imagen 34" descr="Tandil"/>
                        <pic:cNvPicPr/>
                      </pic:nvPicPr>
                      <pic:blipFill>
                        <a:blip r:embed="rId14"/>
                        <a:srcRect l="5136" t="0" r="3266" b="0"/>
                        <a:stretch/>
                      </pic:blipFill>
                      <pic:spPr>
                        <a:xfrm rot="5400000">
                          <a:off x="0" y="0"/>
                          <a:ext cx="7479720" cy="6108840"/>
                        </a:xfrm>
                        <a:prstGeom prst="rect">
                          <a:avLst/>
                        </a:prstGeom>
                        <a:ln w="936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34" stroked="f" style="position:absolute;margin-left:-55.9pt;margin-top:83pt;width:588.9pt;height:480.95pt;rotation:90" type="shapetype_75">
                <v:imagedata r:id="rId14" o:detectmouseclick="t"/>
                <w10:wrap type="none"/>
                <v:stroke color="#3465a4" weight="9360" joinstyle="miter" endcap="flat"/>
              </v:shape>
            </w:pict>
          </mc:Fallback>
        </mc:AlternateContent>
      </w:r>
      <w:r>
        <w:rPr/>
        <w:t>S= gradiente promedio (m/m)</w:t>
      </w:r>
    </w:p>
    <w:p>
      <w:pPr>
        <w:pStyle w:val="Normal"/>
        <w:rPr>
          <w:rFonts w:cs="Arial"/>
          <w:color w:val="FF0000"/>
          <w:lang w:val="pt-BR"/>
        </w:rPr>
      </w:pPr>
      <w:bookmarkStart w:id="54" w:name="_Toc494448998"/>
      <w:bookmarkStart w:id="55" w:name="_Toc494448794"/>
      <w:r>
        <w:rPr>
          <w:rFonts w:cs="Arial"/>
          <w:color w:val="FF0000"/>
          <w:lang w:val="pt-BR"/>
        </w:rPr>
        <w:t>Rta: 55 mm/h</w:t>
      </w:r>
    </w:p>
    <w:p>
      <w:pPr>
        <w:pStyle w:val="Normal"/>
        <w:rPr>
          <w:rFonts w:cs="Arial"/>
          <w:color w:val="FF0000"/>
          <w:lang w:val="es-ES"/>
        </w:rPr>
      </w:pPr>
      <w:r>
        <w:rPr>
          <w:rFonts w:cs="Arial"/>
          <w:color w:val="FF0000"/>
          <w:lang w:val="es-ES"/>
        </w:rPr>
        <w:t>Q= 0.2125 *55*200/360= 6.49 m3/s</w:t>
      </w:r>
    </w:p>
    <w:p>
      <w:pPr>
        <w:pStyle w:val="Normal"/>
        <w:rPr/>
      </w:pPr>
      <w:r>
        <w:rPr/>
      </w:r>
    </w:p>
    <w:p>
      <w:pPr>
        <w:pStyle w:val="Ttulo2"/>
        <w:rPr/>
      </w:pPr>
      <w:bookmarkStart w:id="56" w:name="_Toc494448998"/>
      <w:bookmarkStart w:id="57" w:name="_Toc494448794"/>
      <w:r>
        <w:rPr/>
        <w:t>Ejercicio 2: Dimensionamiento de DesagÜe Vegetado</w:t>
      </w:r>
      <w:bookmarkEnd w:id="56"/>
      <w:bookmarkEnd w:id="57"/>
    </w:p>
    <w:p>
      <w:pPr>
        <w:pStyle w:val="Normal"/>
        <w:rPr/>
      </w:pPr>
      <w:r>
        <w:rPr/>
        <w:t xml:space="preserve">Diseñe un </w:t>
      </w:r>
      <w:r>
        <w:rPr>
          <w:b/>
          <w:bCs/>
        </w:rPr>
        <w:t xml:space="preserve">Desagüe Vegetado </w:t>
      </w:r>
      <w:r>
        <w:rPr/>
        <w:t>que implique el menor movimiento de tierra posible para su construcción y que sea transitable en sentido transversal.</w:t>
      </w:r>
    </w:p>
    <w:p>
      <w:pPr>
        <w:pStyle w:val="Normal"/>
        <w:rPr>
          <w:rFonts w:cs="Arial"/>
          <w:sz w:val="23"/>
          <w:szCs w:val="23"/>
        </w:rPr>
      </w:pPr>
      <w:r>
        <w:rPr>
          <w:rFonts w:cs="Arial"/>
          <w:sz w:val="23"/>
          <w:szCs w:val="23"/>
        </w:rPr>
      </w:r>
    </w:p>
    <w:p>
      <w:pPr>
        <w:pStyle w:val="Normal"/>
        <w:rPr>
          <w:rFonts w:cs="Arial"/>
          <w:b/>
          <w:b/>
          <w:sz w:val="23"/>
          <w:szCs w:val="23"/>
          <w:u w:val="single"/>
        </w:rPr>
      </w:pPr>
      <w:r>
        <w:rPr>
          <w:rFonts w:cs="Arial"/>
          <w:b/>
          <w:sz w:val="23"/>
          <w:szCs w:val="23"/>
          <w:u w:val="single"/>
        </w:rPr>
        <w:t>DATOS:</w:t>
      </w:r>
    </w:p>
    <w:p>
      <w:pPr>
        <w:pStyle w:val="Vietaslineas"/>
        <w:numPr>
          <w:ilvl w:val="0"/>
          <w:numId w:val="4"/>
        </w:numPr>
        <w:ind w:left="0" w:hanging="0"/>
        <w:rPr/>
      </w:pPr>
      <w:r>
        <w:rPr/>
        <w:t>Localidad: Tandil</w:t>
      </w:r>
    </w:p>
    <w:p>
      <w:pPr>
        <w:pStyle w:val="Vietaslineas"/>
        <w:numPr>
          <w:ilvl w:val="0"/>
          <w:numId w:val="4"/>
        </w:numPr>
        <w:ind w:left="0" w:hanging="0"/>
        <w:rPr/>
      </w:pPr>
      <w:r>
        <w:rPr/>
        <w:t>Caudal crítico o pico de escurrimiento: 4.2 m</w:t>
      </w:r>
      <w:r>
        <w:rPr>
          <w:szCs w:val="16"/>
          <w:vertAlign w:val="superscript"/>
        </w:rPr>
        <w:t>3</w:t>
      </w:r>
      <w:r>
        <w:rPr/>
        <w:t>/s (incluye el 10% extra por seguridad)</w:t>
      </w:r>
    </w:p>
    <w:p>
      <w:pPr>
        <w:pStyle w:val="Vietaslineas"/>
        <w:numPr>
          <w:ilvl w:val="0"/>
          <w:numId w:val="4"/>
        </w:numPr>
        <w:ind w:left="0" w:hanging="0"/>
        <w:rPr/>
      </w:pPr>
      <w:r>
        <w:rPr/>
        <w:t>Pendiente en el eje del desagüe: 3 %</w:t>
      </w:r>
    </w:p>
    <w:p>
      <w:pPr>
        <w:pStyle w:val="Vietaslineas"/>
        <w:numPr>
          <w:ilvl w:val="0"/>
          <w:numId w:val="4"/>
        </w:numPr>
        <w:ind w:left="0" w:hanging="0"/>
        <w:rPr/>
      </w:pPr>
      <w:r>
        <w:rPr/>
        <w:t>Suelo: Argiudol Típico (Horizonte A: 0,4 m)</w:t>
      </w:r>
    </w:p>
    <w:p>
      <w:pPr>
        <w:pStyle w:val="Vietaslineas"/>
        <w:numPr>
          <w:ilvl w:val="0"/>
          <w:numId w:val="4"/>
        </w:numPr>
        <w:ind w:left="0" w:hanging="0"/>
        <w:rPr/>
      </w:pPr>
      <w:r>
        <w:rPr/>
        <w:t>Cobertura del desagüe: Vigorosa y de rápido establecimiento</w:t>
      </w:r>
    </w:p>
    <w:p>
      <w:pPr>
        <w:pStyle w:val="Vietaslineas"/>
        <w:numPr>
          <w:ilvl w:val="0"/>
          <w:numId w:val="4"/>
        </w:numPr>
        <w:ind w:left="0" w:hanging="0"/>
        <w:rPr/>
      </w:pPr>
      <w:r>
        <w:rPr/>
        <w:t>Transitable = Talud &gt; 7</w:t>
      </w:r>
    </w:p>
    <w:p>
      <w:pPr>
        <w:pStyle w:val="Normal"/>
        <w:rPr>
          <w:rFonts w:cs="Arial"/>
          <w:sz w:val="23"/>
          <w:szCs w:val="23"/>
        </w:rPr>
      </w:pPr>
      <w:r>
        <w:rPr>
          <w:rFonts w:cs="Arial"/>
          <w:sz w:val="23"/>
          <w:szCs w:val="23"/>
        </w:rPr>
      </w:r>
    </w:p>
    <w:p>
      <w:pPr>
        <w:pStyle w:val="Normal"/>
        <w:rPr>
          <w:rFonts w:cs="Arial"/>
        </w:rPr>
      </w:pPr>
      <w:r>
        <w:rPr>
          <w:rFonts w:cs="Arial"/>
        </w:rPr>
        <w:t>Velocidades máximas permisibles para canales (Handbook 135, USDA)</w:t>
      </w:r>
    </w:p>
    <w:tbl>
      <w:tblPr>
        <w:tblStyle w:val="Manejo"/>
        <w:tblW w:w="6172" w:type="dxa"/>
        <w:jc w:val="left"/>
        <w:tblInd w:w="0" w:type="dxa"/>
        <w:tblBorders>
          <w:bottom w:val="double" w:sz="4" w:space="0" w:color="000000"/>
          <w:insideH w:val="double" w:sz="4" w:space="0" w:color="000000"/>
        </w:tblBorders>
        <w:tblCellMar>
          <w:top w:w="0" w:type="dxa"/>
          <w:left w:w="108" w:type="dxa"/>
          <w:bottom w:w="0" w:type="dxa"/>
          <w:right w:w="108" w:type="dxa"/>
        </w:tblCellMar>
        <w:tblLook w:val="04a0"/>
      </w:tblPr>
      <w:tblGrid>
        <w:gridCol w:w="4258"/>
        <w:gridCol w:w="1913"/>
      </w:tblGrid>
      <w:tr>
        <w:trPr/>
        <w:tc>
          <w:tcPr>
            <w:tcW w:w="4258" w:type="dxa"/>
            <w:tcBorders>
              <w:bottom w:val="double" w:sz="4" w:space="0" w:color="000000"/>
              <w:insideH w:val="double" w:sz="4" w:space="0" w:color="000000"/>
            </w:tcBorders>
            <w:shd w:fill="auto" w:val="clear"/>
            <w:vAlign w:val="center"/>
          </w:tcPr>
          <w:p>
            <w:pPr>
              <w:pStyle w:val="TablaImagenes"/>
              <w:spacing w:lineRule="auto" w:line="276"/>
              <w:jc w:val="center"/>
              <w:rPr>
                <w:b/>
                <w:b/>
              </w:rPr>
            </w:pPr>
            <w:r>
              <w:rPr>
                <w:b/>
                <w:color w:val="000000"/>
                <w:lang w:eastAsia="en-US"/>
              </w:rPr>
              <w:t>Cobertura</w:t>
            </w:r>
          </w:p>
        </w:tc>
        <w:tc>
          <w:tcPr>
            <w:tcW w:w="1913" w:type="dxa"/>
            <w:tcBorders>
              <w:bottom w:val="double" w:sz="4" w:space="0" w:color="000000"/>
              <w:insideH w:val="double" w:sz="4" w:space="0" w:color="000000"/>
            </w:tcBorders>
            <w:shd w:fill="auto" w:val="clear"/>
            <w:vAlign w:val="center"/>
          </w:tcPr>
          <w:p>
            <w:pPr>
              <w:pStyle w:val="TablaImagenes"/>
              <w:spacing w:lineRule="auto" w:line="276"/>
              <w:jc w:val="center"/>
              <w:rPr>
                <w:b/>
                <w:b/>
              </w:rPr>
            </w:pPr>
            <w:r>
              <w:rPr>
                <w:b/>
                <w:color w:val="000000"/>
                <w:lang w:eastAsia="en-US"/>
              </w:rPr>
              <w:t>Velocidad Máxima</w:t>
            </w:r>
          </w:p>
          <w:p>
            <w:pPr>
              <w:pStyle w:val="TablaImagenes"/>
              <w:spacing w:lineRule="auto" w:line="276"/>
              <w:jc w:val="center"/>
              <w:rPr>
                <w:i/>
                <w:i/>
              </w:rPr>
            </w:pPr>
            <w:r>
              <w:rPr>
                <w:i/>
                <w:color w:val="000000"/>
                <w:lang w:eastAsia="en-US"/>
              </w:rPr>
              <w:t>(m/s)</w:t>
            </w:r>
          </w:p>
        </w:tc>
      </w:tr>
      <w:tr>
        <w:trPr/>
        <w:tc>
          <w:tcPr>
            <w:tcW w:w="4258" w:type="dxa"/>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Césped Malo</w:t>
            </w:r>
          </w:p>
        </w:tc>
        <w:tc>
          <w:tcPr>
            <w:tcW w:w="1913" w:type="dxa"/>
            <w:tcBorders>
              <w:top w:val="doub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0,9</w:t>
            </w:r>
          </w:p>
        </w:tc>
      </w:tr>
      <w:tr>
        <w:trPr/>
        <w:tc>
          <w:tcPr>
            <w:tcW w:w="42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Césped Normal</w:t>
            </w:r>
          </w:p>
        </w:tc>
        <w:tc>
          <w:tcPr>
            <w:tcW w:w="1913"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1,2</w:t>
            </w:r>
          </w:p>
        </w:tc>
      </w:tr>
      <w:tr>
        <w:trPr/>
        <w:tc>
          <w:tcPr>
            <w:tcW w:w="42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Césped Vigoroso de Rápido Establecimiento</w:t>
            </w:r>
          </w:p>
        </w:tc>
        <w:tc>
          <w:tcPr>
            <w:tcW w:w="1913"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1,5</w:t>
            </w:r>
          </w:p>
        </w:tc>
      </w:tr>
      <w:tr>
        <w:trPr/>
        <w:tc>
          <w:tcPr>
            <w:tcW w:w="42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Césped Vigoroso ya establecido</w:t>
            </w:r>
          </w:p>
        </w:tc>
        <w:tc>
          <w:tcPr>
            <w:tcW w:w="1913"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1,8</w:t>
            </w:r>
          </w:p>
        </w:tc>
      </w:tr>
      <w:tr>
        <w:trPr/>
        <w:tc>
          <w:tcPr>
            <w:tcW w:w="42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Césped de Excelente Calidad o</w:t>
            </w:r>
          </w:p>
          <w:p>
            <w:pPr>
              <w:pStyle w:val="TablaImagenes"/>
              <w:spacing w:lineRule="auto" w:line="276"/>
              <w:jc w:val="center"/>
              <w:rPr>
                <w:rFonts w:ascii="Calibri" w:hAnsi="Calibri"/>
                <w:color w:val="000000"/>
                <w:lang w:eastAsia="en-US"/>
              </w:rPr>
            </w:pPr>
            <w:r>
              <w:rPr>
                <w:color w:val="000000"/>
                <w:lang w:eastAsia="en-US"/>
              </w:rPr>
              <w:t>Cuando Sea Inevitable darle menor velocidad</w:t>
            </w:r>
          </w:p>
        </w:tc>
        <w:tc>
          <w:tcPr>
            <w:tcW w:w="1913" w:type="dxa"/>
            <w:tcBorders>
              <w:top w:val="single" w:sz="4" w:space="0" w:color="000000"/>
              <w:bottom w:val="single" w:sz="4" w:space="0" w:color="000000"/>
              <w:insideH w:val="single" w:sz="4" w:space="0" w:color="000000"/>
            </w:tcBorders>
            <w:shd w:fill="auto" w:val="clear"/>
            <w:vAlign w:val="center"/>
          </w:tcPr>
          <w:p>
            <w:pPr>
              <w:pStyle w:val="TablaImagenes"/>
              <w:spacing w:lineRule="auto" w:line="276"/>
              <w:jc w:val="center"/>
              <w:rPr>
                <w:rFonts w:ascii="Calibri" w:hAnsi="Calibri"/>
                <w:color w:val="000000"/>
                <w:lang w:eastAsia="en-US"/>
              </w:rPr>
            </w:pPr>
            <w:r>
              <w:rPr>
                <w:color w:val="000000"/>
                <w:lang w:eastAsia="en-US"/>
              </w:rPr>
              <w:t>2,1</w:t>
            </w:r>
          </w:p>
        </w:tc>
      </w:tr>
    </w:tbl>
    <w:p>
      <w:pPr>
        <w:pStyle w:val="Normal"/>
        <w:rPr>
          <w:rFonts w:cs="Arial"/>
          <w:sz w:val="23"/>
          <w:szCs w:val="23"/>
          <w:lang w:val="pt-BR"/>
        </w:rPr>
      </w:pPr>
      <w:r>
        <w:rPr/>
      </w:r>
      <m:oMath xmlns:m="http://schemas.openxmlformats.org/officeDocument/2006/math"/>
      <w:r>
        <w:rPr>
          <w:b/>
          <w:lang w:val="pt-BR"/>
        </w:rPr>
        <w:t xml:space="preserve">Fórmulas </w:t>
      </w:r>
    </w:p>
    <w:tbl>
      <w:tblPr>
        <w:tblStyle w:val="Manejo"/>
        <w:tblW w:w="4269" w:type="dxa"/>
        <w:jc w:val="left"/>
        <w:tblInd w:w="0" w:type="dxa"/>
        <w:tblBorders>
          <w:bottom w:val="double" w:sz="4" w:space="0" w:color="000000"/>
          <w:insideH w:val="double" w:sz="4" w:space="0" w:color="000000"/>
        </w:tblBorders>
        <w:tblCellMar>
          <w:top w:w="0" w:type="dxa"/>
          <w:left w:w="108" w:type="dxa"/>
          <w:bottom w:w="0" w:type="dxa"/>
          <w:right w:w="108" w:type="dxa"/>
        </w:tblCellMar>
        <w:tblLook w:val="04a0"/>
      </w:tblPr>
      <w:tblGrid>
        <w:gridCol w:w="2132"/>
        <w:gridCol w:w="2136"/>
      </w:tblGrid>
      <w:tr>
        <w:trPr/>
        <w:tc>
          <w:tcPr>
            <w:tcW w:w="2132" w:type="dxa"/>
            <w:tcBorders>
              <w:bottom w:val="double" w:sz="4" w:space="0" w:color="000000"/>
              <w:insideH w:val="double" w:sz="4" w:space="0" w:color="000000"/>
            </w:tcBorders>
            <w:shd w:fill="auto" w:val="clear"/>
            <w:vAlign w:val="center"/>
          </w:tcPr>
          <w:p>
            <w:pPr>
              <w:pStyle w:val="Normal"/>
              <w:spacing w:lineRule="auto" w:line="276" w:before="0" w:after="120"/>
              <w:ind w:hanging="0"/>
              <w:jc w:val="center"/>
              <w:rPr>
                <w:b/>
                <w:b/>
              </w:rPr>
            </w:pPr>
            <w:r>
              <w:rPr>
                <w:b/>
                <w:color w:val="000000"/>
                <w:lang w:eastAsia="en-US"/>
              </w:rPr>
              <w:t>Fórmulas</w:t>
            </w:r>
          </w:p>
        </w:tc>
        <w:tc>
          <w:tcPr>
            <w:tcW w:w="2136" w:type="dxa"/>
            <w:tcBorders>
              <w:bottom w:val="double" w:sz="4" w:space="0" w:color="000000"/>
              <w:insideH w:val="double" w:sz="4" w:space="0" w:color="000000"/>
            </w:tcBorders>
            <w:shd w:fill="auto" w:val="clear"/>
            <w:vAlign w:val="center"/>
          </w:tcPr>
          <w:p>
            <w:pPr>
              <w:pStyle w:val="Normal"/>
              <w:spacing w:lineRule="auto" w:line="276" w:before="0" w:after="120"/>
              <w:ind w:hanging="0"/>
              <w:jc w:val="center"/>
              <w:rPr>
                <w:b/>
                <w:b/>
              </w:rPr>
            </w:pPr>
            <w:r>
              <w:rPr>
                <w:b/>
                <w:color w:val="000000"/>
                <w:lang w:eastAsia="en-US"/>
              </w:rPr>
              <w:t>Sección PARABÓLICA</w:t>
            </w:r>
          </w:p>
        </w:tc>
      </w:tr>
      <w:tr>
        <w:trPr/>
        <w:tc>
          <w:tcPr>
            <w:tcW w:w="2132" w:type="dxa"/>
            <w:tcBorders>
              <w:top w:val="double" w:sz="4" w:space="0" w:color="000000"/>
              <w:bottom w:val="single" w:sz="4" w:space="0" w:color="000000"/>
              <w:insideH w:val="single" w:sz="4" w:space="0" w:color="000000"/>
            </w:tcBorders>
            <w:shd w:fill="auto" w:val="clear"/>
            <w:vAlign w:val="center"/>
          </w:tcPr>
          <w:p>
            <w:pPr>
              <w:pStyle w:val="Normal"/>
              <w:spacing w:lineRule="auto" w:line="276" w:before="0" w:after="120"/>
              <w:ind w:hanging="0"/>
              <w:jc w:val="center"/>
              <w:rPr>
                <w:i/>
                <w:i/>
              </w:rPr>
            </w:pPr>
            <w:r>
              <w:rPr>
                <w:i/>
                <w:color w:val="000000"/>
                <w:lang w:eastAsia="en-US"/>
              </w:rPr>
              <w:t>Área del Canal</w:t>
            </w:r>
          </w:p>
        </w:tc>
        <w:tc>
          <w:tcPr>
            <w:tcW w:w="2136" w:type="dxa"/>
            <w:tcBorders>
              <w:top w:val="double" w:sz="4" w:space="0" w:color="000000"/>
              <w:bottom w:val="single" w:sz="4" w:space="0" w:color="000000"/>
              <w:insideH w:val="single" w:sz="4" w:space="0" w:color="000000"/>
            </w:tcBorders>
            <w:shd w:fill="auto" w:val="clear"/>
            <w:vAlign w:val="center"/>
          </w:tcPr>
          <w:p>
            <w:pPr>
              <w:pStyle w:val="Normal"/>
              <w:spacing w:lineRule="auto" w:line="276" w:before="0" w:after="120"/>
              <w:ind w:hanging="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A</m:t>
              </m:r>
              <m:r>
                <w:rPr>
                  <w:rFonts w:ascii="Cambria Math" w:hAnsi="Cambria Math"/>
                </w:rPr>
                <m:t xml:space="preserve">=</m:t>
              </m:r>
              <m:f>
                <m:num>
                  <m:r>
                    <w:rPr>
                      <w:rFonts w:ascii="Cambria Math" w:hAnsi="Cambria Math"/>
                    </w:rPr>
                    <m:t xml:space="preserve">2</m:t>
                  </m:r>
                </m:num>
                <m:den>
                  <m:r>
                    <w:rPr>
                      <w:rFonts w:ascii="Cambria Math" w:hAnsi="Cambria Math"/>
                    </w:rPr>
                    <m:t xml:space="preserve">3</m:t>
                  </m:r>
                </m:den>
              </m:f>
              <m:r>
                <w:rPr>
                  <w:rFonts w:ascii="Cambria Math" w:hAnsi="Cambria Math"/>
                </w:rPr>
                <m:t xml:space="preserve">d</m:t>
              </m:r>
              <m:r>
                <w:rPr>
                  <w:rFonts w:ascii="Cambria Math" w:hAnsi="Cambria Math"/>
                </w:rPr>
                <m:t xml:space="preserve">∗</m:t>
              </m:r>
              <m:r>
                <w:rPr>
                  <w:rFonts w:ascii="Cambria Math" w:hAnsi="Cambria Math"/>
                </w:rPr>
                <m:t xml:space="preserve">t</m:t>
              </m:r>
            </m:oMath>
          </w:p>
        </w:tc>
      </w:tr>
      <w:tr>
        <w:trPr/>
        <w:tc>
          <w:tcPr>
            <w:tcW w:w="2132"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120"/>
              <w:ind w:hanging="0"/>
              <w:jc w:val="center"/>
              <w:rPr>
                <w:i/>
                <w:i/>
              </w:rPr>
            </w:pPr>
            <w:r>
              <w:rPr>
                <w:i/>
                <w:color w:val="000000"/>
                <w:lang w:eastAsia="en-US"/>
              </w:rPr>
              <w:t>Radio Hidráulico</w:t>
            </w:r>
          </w:p>
        </w:tc>
        <w:tc>
          <w:tcPr>
            <w:tcW w:w="213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120"/>
              <w:ind w:hanging="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Rh</m:t>
              </m:r>
              <m:r>
                <w:rPr>
                  <w:rFonts w:ascii="Cambria Math" w:hAnsi="Cambria Math"/>
                </w:rPr>
                <m:t xml:space="preserve">=</m:t>
              </m:r>
              <m:f>
                <m:num>
                  <m:r>
                    <w:rPr>
                      <w:rFonts w:ascii="Cambria Math" w:hAnsi="Cambria Math"/>
                    </w:rPr>
                    <m:t xml:space="preserve">2</m:t>
                  </m:r>
                </m:num>
                <m:den>
                  <m:r>
                    <w:rPr>
                      <w:rFonts w:ascii="Cambria Math" w:hAnsi="Cambria Math"/>
                    </w:rPr>
                    <m:t xml:space="preserve">3</m:t>
                  </m:r>
                </m:den>
              </m:f>
              <m:r>
                <w:rPr>
                  <w:rFonts w:ascii="Cambria Math" w:hAnsi="Cambria Math"/>
                </w:rPr>
                <m:t xml:space="preserve">d</m:t>
              </m:r>
            </m:oMath>
          </w:p>
        </w:tc>
      </w:tr>
      <w:tr>
        <w:trPr/>
        <w:tc>
          <w:tcPr>
            <w:tcW w:w="2132"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0" w:after="120"/>
              <w:ind w:hanging="0"/>
              <w:jc w:val="center"/>
              <w:rPr>
                <w:i/>
                <w:i/>
              </w:rPr>
            </w:pPr>
            <w:r>
              <w:rPr>
                <w:i/>
                <w:color w:val="000000"/>
                <w:lang w:eastAsia="en-US"/>
              </w:rPr>
              <w:t>Ecuación de Manning</w:t>
            </w:r>
          </w:p>
        </w:tc>
        <w:tc>
          <w:tcPr>
            <w:tcW w:w="2136" w:type="dxa"/>
            <w:tcBorders>
              <w:top w:val="single" w:sz="4" w:space="0" w:color="000000"/>
              <w:bottom w:val="single" w:sz="4" w:space="0" w:color="000000"/>
              <w:insideH w:val="single" w:sz="4" w:space="0" w:color="000000"/>
            </w:tcBorders>
            <w:shd w:fill="auto" w:val="clear"/>
            <w:vAlign w:val="center"/>
          </w:tcPr>
          <w:p>
            <w:pPr>
              <w:pStyle w:val="Normal"/>
              <w:spacing w:lineRule="auto" w:line="276" w:before="120" w:after="120"/>
              <w:ind w:hanging="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V</m:t>
              </m:r>
              <m:r>
                <w:rPr>
                  <w:rFonts w:ascii="Cambria Math" w:hAnsi="Cambria Math"/>
                </w:rPr>
                <m:t xml:space="preserve">=</m:t>
              </m:r>
              <m:f>
                <m:num>
                  <m:sSup>
                    <m:e>
                      <m:r>
                        <w:rPr>
                          <w:rFonts w:ascii="Cambria Math" w:hAnsi="Cambria Math"/>
                        </w:rPr>
                        <m:t xml:space="preserve">Rh</m:t>
                      </m:r>
                    </m:e>
                    <m:sup>
                      <m:f>
                        <m:fPr>
                          <m:type m:val="lin"/>
                        </m:fPr>
                        <m:num>
                          <m:r>
                            <w:rPr>
                              <w:rFonts w:ascii="Cambria Math" w:hAnsi="Cambria Math"/>
                            </w:rPr>
                            <m:t xml:space="preserve">2</m:t>
                          </m:r>
                        </m:num>
                        <m:den>
                          <m:r>
                            <w:rPr>
                              <w:rFonts w:ascii="Cambria Math" w:hAnsi="Cambria Math"/>
                            </w:rPr>
                            <m:t xml:space="preserve">3</m:t>
                          </m:r>
                        </m:den>
                      </m:f>
                    </m:sup>
                  </m:sSup>
                  <m:r>
                    <w:rPr>
                      <w:rFonts w:ascii="Cambria Math" w:hAnsi="Cambria Math"/>
                    </w:rPr>
                    <m:t xml:space="preserve">∗</m:t>
                  </m:r>
                  <m:sSup>
                    <m:e>
                      <m:r>
                        <w:rPr>
                          <w:rFonts w:ascii="Cambria Math" w:hAnsi="Cambria Math"/>
                        </w:rPr>
                        <m:t xml:space="preserve">S</m:t>
                      </m:r>
                    </m:e>
                    <m:sup>
                      <m:f>
                        <m:fPr>
                          <m:type m:val="lin"/>
                        </m:fPr>
                        <m:num>
                          <m:r>
                            <w:rPr>
                              <w:rFonts w:ascii="Cambria Math" w:hAnsi="Cambria Math"/>
                            </w:rPr>
                            <m:t xml:space="preserve">1</m:t>
                          </m:r>
                        </m:num>
                        <m:den>
                          <m:r>
                            <w:rPr>
                              <w:rFonts w:ascii="Cambria Math" w:hAnsi="Cambria Math"/>
                            </w:rPr>
                            <m:t xml:space="preserve">2</m:t>
                          </m:r>
                        </m:den>
                      </m:f>
                    </m:sup>
                  </m:sSup>
                </m:num>
                <m:den>
                  <m:r>
                    <w:rPr>
                      <w:rFonts w:ascii="Cambria Math" w:hAnsi="Cambria Math"/>
                    </w:rPr>
                    <m:t xml:space="preserve">n</m:t>
                  </m:r>
                </m:den>
              </m:f>
            </m:oMath>
          </w:p>
        </w:tc>
      </w:tr>
    </w:tbl>
    <w:p>
      <w:pPr>
        <w:pStyle w:val="Normal"/>
        <w:rPr/>
      </w:pPr>
      <w:r>
        <w:rPr/>
        <w:t>Donde</w:t>
      </w:r>
    </w:p>
    <w:p>
      <w:pPr>
        <w:pStyle w:val="Vietascrculos"/>
        <w:numPr>
          <w:ilvl w:val="0"/>
          <w:numId w:val="2"/>
        </w:numPr>
        <w:rPr/>
      </w:pPr>
      <w:r>
        <w:rPr/>
        <w:t>V= Velocidad de flujo (m/s)</w:t>
      </w:r>
    </w:p>
    <w:p>
      <w:pPr>
        <w:pStyle w:val="Vietascrculos"/>
        <w:numPr>
          <w:ilvl w:val="0"/>
          <w:numId w:val="2"/>
        </w:numPr>
        <w:rPr/>
      </w:pPr>
      <w:r>
        <w:rPr/>
        <w:t>Rh= Radio hidráulico (m)</w:t>
      </w:r>
    </w:p>
    <w:p>
      <w:pPr>
        <w:pStyle w:val="Vietascrculos"/>
        <w:numPr>
          <w:ilvl w:val="0"/>
          <w:numId w:val="2"/>
        </w:numPr>
        <w:rPr/>
      </w:pPr>
      <w:r>
        <w:rPr/>
        <w:t>S= Pendiente del canal (m/m)</w:t>
      </w:r>
    </w:p>
    <w:p>
      <w:pPr>
        <w:pStyle w:val="Vietascrculos"/>
        <w:numPr>
          <w:ilvl w:val="0"/>
          <w:numId w:val="2"/>
        </w:numPr>
        <w:rPr>
          <w:lang w:val="pt-BR"/>
        </w:rPr>
      </w:pPr>
      <w:r>
        <w:rPr>
          <w:lang w:val="pt-BR"/>
        </w:rPr>
        <w:t>n= Coeficientes de Rugosidad de Manning (adimensional)</w:t>
      </w:r>
    </w:p>
    <w:p>
      <w:pPr>
        <w:pStyle w:val="Vietascrculos"/>
        <w:numPr>
          <w:ilvl w:val="0"/>
          <w:numId w:val="8"/>
        </w:numPr>
        <w:ind w:firstLine="349"/>
        <w:rPr>
          <w:lang w:val="pt-BR"/>
        </w:rPr>
      </w:pPr>
      <w:r>
        <w:rPr>
          <w:lang w:val="pt-BR"/>
        </w:rPr>
        <w:t>n= 0.025 Para suelos desnudos</w:t>
      </w:r>
    </w:p>
    <w:p>
      <w:pPr>
        <w:pStyle w:val="Vietascrculos"/>
        <w:numPr>
          <w:ilvl w:val="0"/>
          <w:numId w:val="8"/>
        </w:numPr>
        <w:ind w:firstLine="349"/>
        <w:rPr>
          <w:lang w:val="pt-BR"/>
        </w:rPr>
      </w:pPr>
      <w:r>
        <w:rPr>
          <w:lang w:val="pt-BR"/>
        </w:rPr>
        <w:t>n= 0.035 pobremente vegetados</w:t>
      </w:r>
    </w:p>
    <w:p>
      <w:pPr>
        <w:pStyle w:val="Vietascrculos"/>
        <w:numPr>
          <w:ilvl w:val="0"/>
          <w:numId w:val="8"/>
        </w:numPr>
        <w:ind w:firstLine="349"/>
        <w:rPr>
          <w:color w:val="FF0000"/>
          <w:lang w:val="pt-BR"/>
        </w:rPr>
      </w:pPr>
      <w:r>
        <w:rPr>
          <w:color w:val="FF0000"/>
          <w:lang w:val="pt-BR"/>
        </w:rPr>
        <w:t>n= 0.045 medianamente vegetados</w:t>
      </w:r>
    </w:p>
    <w:p>
      <w:pPr>
        <w:pStyle w:val="Vietascrculos"/>
        <w:numPr>
          <w:ilvl w:val="0"/>
          <w:numId w:val="2"/>
        </w:numPr>
        <w:rPr/>
      </w:pPr>
      <w:r>
        <w:rPr/>
        <w:t>A= Área del Canal (m</w:t>
      </w:r>
      <w:r>
        <w:rPr>
          <w:vertAlign w:val="superscript"/>
        </w:rPr>
        <w:t>2</w:t>
      </w:r>
      <w:r>
        <w:rPr/>
        <w:t>)</w:t>
      </w:r>
    </w:p>
    <w:p>
      <w:pPr>
        <w:pStyle w:val="Vietascrculos"/>
        <w:numPr>
          <w:ilvl w:val="0"/>
          <w:numId w:val="2"/>
        </w:numPr>
        <w:rPr/>
      </w:pPr>
      <w:r>
        <w:rPr/>
        <w:t>d= Profundidad del Canal (m)</w:t>
      </w:r>
    </w:p>
    <w:p>
      <w:pPr>
        <w:pStyle w:val="Vietascrculos"/>
        <w:numPr>
          <w:ilvl w:val="0"/>
          <w:numId w:val="2"/>
        </w:numPr>
        <w:rPr>
          <w:szCs w:val="22"/>
        </w:rPr>
      </w:pPr>
      <w:r>
        <w:rPr>
          <w:szCs w:val="22"/>
        </w:rPr>
        <w:t>t= Ancho del Canal (m)</w:t>
      </w:r>
    </w:p>
    <w:p>
      <w:pPr>
        <w:pStyle w:val="Normal"/>
        <w:spacing w:before="0" w:after="0"/>
        <w:ind w:hanging="0"/>
        <w:jc w:val="left"/>
        <w:rPr>
          <w:szCs w:val="22"/>
        </w:rPr>
      </w:pPr>
      <w:r>
        <w:rPr>
          <w:szCs w:val="22"/>
        </w:rPr>
      </w:r>
    </w:p>
    <w:p>
      <w:pPr>
        <w:pStyle w:val="Normal"/>
        <w:numPr>
          <w:ilvl w:val="0"/>
          <w:numId w:val="0"/>
        </w:numPr>
        <w:ind w:firstLine="567"/>
        <w:outlineLvl w:val="0"/>
        <w:rPr>
          <w:rFonts w:cs="Arial"/>
          <w:color w:val="FF0000"/>
          <w:szCs w:val="22"/>
        </w:rPr>
      </w:pPr>
      <w:r>
        <w:rPr>
          <w:rFonts w:cs="Arial"/>
          <w:color w:val="FF0000"/>
          <w:szCs w:val="22"/>
        </w:rPr>
        <w:t>Resolucion:</w:t>
      </w:r>
    </w:p>
    <w:p>
      <w:pPr>
        <w:pStyle w:val="Normal"/>
        <w:numPr>
          <w:ilvl w:val="0"/>
          <w:numId w:val="0"/>
        </w:numPr>
        <w:ind w:firstLine="567"/>
        <w:outlineLvl w:val="0"/>
        <w:rPr>
          <w:rFonts w:cs="Arial"/>
          <w:color w:val="FF0000"/>
          <w:szCs w:val="22"/>
          <w:lang w:val="pt-BR"/>
        </w:rPr>
      </w:pPr>
      <w:r>
        <w:rPr>
          <w:rFonts w:cs="Arial"/>
          <w:color w:val="FF0000"/>
          <w:szCs w:val="22"/>
          <w:lang w:val="pt-BR"/>
        </w:rPr>
        <w:t xml:space="preserve">Q=AxV </w:t>
      </w:r>
    </w:p>
    <w:p>
      <w:pPr>
        <w:pStyle w:val="Normal"/>
        <w:numPr>
          <w:ilvl w:val="0"/>
          <w:numId w:val="0"/>
        </w:numPr>
        <w:ind w:firstLine="567"/>
        <w:outlineLvl w:val="0"/>
        <w:rPr>
          <w:rFonts w:cs="Arial"/>
          <w:color w:val="FF0000"/>
          <w:szCs w:val="22"/>
          <w:lang w:val="pt-BR"/>
        </w:rPr>
      </w:pPr>
      <w:r>
        <w:rPr>
          <w:rFonts w:cs="Arial"/>
          <w:color w:val="FF0000"/>
          <w:szCs w:val="22"/>
          <w:lang w:val="pt-BR"/>
        </w:rPr>
        <w:t>Para Tandil: 1.5 m/s (1.43-1.57m/s)</w:t>
      </w:r>
    </w:p>
    <w:p>
      <w:pPr>
        <w:pStyle w:val="Normal"/>
        <w:numPr>
          <w:ilvl w:val="0"/>
          <w:numId w:val="0"/>
        </w:numPr>
        <w:ind w:firstLine="567"/>
        <w:outlineLvl w:val="0"/>
        <w:rPr>
          <w:rFonts w:cs="Arial"/>
          <w:color w:val="FF0000"/>
          <w:szCs w:val="22"/>
          <w:lang w:val="es-ES"/>
        </w:rPr>
      </w:pPr>
      <w:r>
        <w:rPr>
          <w:rFonts w:cs="Arial"/>
          <w:color w:val="FF0000"/>
          <w:szCs w:val="22"/>
          <w:lang w:val="es-ES"/>
        </w:rPr>
        <w:t xml:space="preserve">Rh=2/3 d </w:t>
        <w:tab/>
        <w:t>proponemos d=0.35 m</w:t>
      </w:r>
    </w:p>
    <w:p>
      <w:pPr>
        <w:pStyle w:val="Normal"/>
        <w:numPr>
          <w:ilvl w:val="0"/>
          <w:numId w:val="0"/>
        </w:numPr>
        <w:ind w:firstLine="567"/>
        <w:outlineLvl w:val="0"/>
        <w:rPr>
          <w:rFonts w:cs="Arial"/>
          <w:color w:val="FF0000"/>
          <w:szCs w:val="22"/>
          <w:lang w:val="es-ES"/>
        </w:rPr>
      </w:pPr>
      <w:r>
        <w:rPr>
          <w:rFonts w:cs="Arial"/>
          <w:color w:val="FF0000"/>
          <w:szCs w:val="22"/>
          <w:lang w:val="es-ES"/>
        </w:rPr>
        <w:t>Rh=0.23</w:t>
      </w:r>
    </w:p>
    <w:p>
      <w:pPr>
        <w:pStyle w:val="Normal"/>
        <w:numPr>
          <w:ilvl w:val="0"/>
          <w:numId w:val="0"/>
        </w:numPr>
        <w:ind w:firstLine="567"/>
        <w:outlineLvl w:val="0"/>
        <w:rPr>
          <w:rFonts w:cs="Arial"/>
          <w:color w:val="FF0000"/>
          <w:szCs w:val="22"/>
          <w:lang w:val="en-US"/>
        </w:rPr>
      </w:pPr>
      <w:r>
        <w:rPr/>
      </w:r>
      <m:oMath xmlns:m="http://schemas.openxmlformats.org/officeDocument/2006/math">
        <m:r>
          <w:rPr>
            <w:rFonts w:ascii="Cambria Math" w:hAnsi="Cambria Math"/>
          </w:rPr>
          <m:t xml:space="preserve">V</m:t>
        </m:r>
        <m:r>
          <w:rPr>
            <w:rFonts w:ascii="Cambria Math" w:hAnsi="Cambria Math"/>
          </w:rPr>
          <m:t xml:space="preserve">=</m:t>
        </m:r>
        <m:f>
          <m:num>
            <m:sSup>
              <m:e>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23</m:t>
                </m:r>
              </m:e>
              <m:sup>
                <m:f>
                  <m:fPr>
                    <m:type m:val="lin"/>
                  </m:fPr>
                  <m:num>
                    <m:r>
                      <w:rPr>
                        <w:rFonts w:ascii="Cambria Math" w:hAnsi="Cambria Math"/>
                      </w:rPr>
                      <m:t xml:space="preserve">2</m:t>
                    </m:r>
                  </m:num>
                  <m:den>
                    <m:r>
                      <w:rPr>
                        <w:rFonts w:ascii="Cambria Math" w:hAnsi="Cambria Math"/>
                      </w:rPr>
                      <m:t xml:space="preserve">3</m:t>
                    </m:r>
                  </m:den>
                </m:f>
              </m:sup>
            </m:sSup>
            <m:r>
              <w:rPr>
                <w:rFonts w:ascii="Cambria Math" w:hAnsi="Cambria Math"/>
              </w:rPr>
              <m:t xml:space="preserve">∗</m:t>
            </m:r>
            <m:sSup>
              <m:e>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03</m:t>
                </m:r>
              </m:e>
              <m:sup>
                <m:f>
                  <m:fPr>
                    <m:type m:val="lin"/>
                  </m:fPr>
                  <m:num>
                    <m:r>
                      <w:rPr>
                        <w:rFonts w:ascii="Cambria Math" w:hAnsi="Cambria Math"/>
                      </w:rPr>
                      <m:t xml:space="preserve">1</m:t>
                    </m:r>
                  </m:num>
                  <m:den>
                    <m:r>
                      <w:rPr>
                        <w:rFonts w:ascii="Cambria Math" w:hAnsi="Cambria Math"/>
                      </w:rPr>
                      <m:t xml:space="preserve">2</m:t>
                    </m:r>
                  </m:den>
                </m:f>
              </m:sup>
            </m:sSup>
          </m:num>
          <m:den>
            <m:r>
              <w:rPr>
                <w:rFonts w:ascii="Cambria Math" w:hAnsi="Cambria Math"/>
              </w:rPr>
              <m:t xml:space="preserve">0</m:t>
            </m:r>
            <m:r>
              <m:rPr>
                <m:lit/>
                <m:nor/>
              </m:rPr>
              <w:rPr>
                <w:rFonts w:ascii="Cambria Math" w:hAnsi="Cambria Math"/>
              </w:rPr>
              <m:t xml:space="preserve">.</m:t>
            </m:r>
            <m:r>
              <m:rPr>
                <m:lit/>
                <m:nor/>
              </m:rPr>
              <w:rPr>
                <w:rFonts w:ascii="Cambria Math" w:hAnsi="Cambria Math"/>
              </w:rPr>
              <m:t xml:space="preserve">045</m:t>
            </m:r>
          </m:den>
        </m:f>
      </m:oMath>
      <w:r>
        <w:rPr>
          <w:rFonts w:cs="Arial"/>
          <w:color w:val="FF0000"/>
          <w:szCs w:val="22"/>
          <w:lang w:val="en-US"/>
        </w:rPr>
        <w:t>= 1.46 m/s (+-5%=1.5 m/s)</w:t>
      </w:r>
    </w:p>
    <w:p>
      <w:pPr>
        <w:pStyle w:val="Normal"/>
        <w:numPr>
          <w:ilvl w:val="0"/>
          <w:numId w:val="0"/>
        </w:numPr>
        <w:ind w:firstLine="567"/>
        <w:jc w:val="left"/>
        <w:outlineLvl w:val="0"/>
        <w:rPr>
          <w:rFonts w:cs="Arial"/>
          <w:color w:val="FF0000"/>
          <w:szCs w:val="22"/>
          <w:lang w:val="en-US"/>
        </w:rPr>
      </w:pPr>
      <w:r>
        <w:rPr>
          <w:rFonts w:cs="Arial"/>
          <w:color w:val="FF0000"/>
          <w:szCs w:val="22"/>
          <w:lang w:val="en-US"/>
        </w:rPr>
        <w:t>A=Q/V = 4.2 m3/s  /  1.16 m/s= 2.88 m2</w:t>
      </w:r>
    </w:p>
    <w:p>
      <w:pPr>
        <w:pStyle w:val="Normal"/>
        <w:numPr>
          <w:ilvl w:val="0"/>
          <w:numId w:val="0"/>
        </w:numPr>
        <w:ind w:firstLine="567"/>
        <w:outlineLvl w:val="0"/>
        <w:rPr>
          <w:rFonts w:cs="Arial"/>
          <w:color w:val="FF0000"/>
          <w:szCs w:val="22"/>
          <w:lang w:val="es-ES"/>
        </w:rPr>
      </w:pPr>
      <w:r>
        <w:rPr>
          <w:rFonts w:cs="Arial"/>
          <w:color w:val="FF0000"/>
          <w:szCs w:val="22"/>
          <w:lang w:val="es-ES"/>
        </w:rPr>
        <w:t>A=2/3 t d</w:t>
      </w:r>
    </w:p>
    <w:p>
      <w:pPr>
        <w:pStyle w:val="Normal"/>
        <w:numPr>
          <w:ilvl w:val="0"/>
          <w:numId w:val="0"/>
        </w:numPr>
        <w:ind w:firstLine="567"/>
        <w:outlineLvl w:val="0"/>
        <w:rPr>
          <w:rFonts w:cs="Arial"/>
          <w:color w:val="FF0000"/>
          <w:szCs w:val="22"/>
          <w:lang w:val="es-ES"/>
        </w:rPr>
      </w:pPr>
      <w:r>
        <w:rPr>
          <w:rFonts w:cs="Arial"/>
          <w:color w:val="FF0000"/>
          <w:szCs w:val="22"/>
          <w:lang w:val="es-ES"/>
        </w:rPr>
        <w:t>t= 3/2 (A/d)=3/2 (2.88/0.35)= 12.34 m</w:t>
      </w:r>
    </w:p>
    <w:p>
      <w:pPr>
        <w:pStyle w:val="Normal"/>
        <w:numPr>
          <w:ilvl w:val="0"/>
          <w:numId w:val="0"/>
        </w:numPr>
        <w:ind w:firstLine="567"/>
        <w:outlineLvl w:val="0"/>
        <w:rPr>
          <w:rFonts w:cs="Arial"/>
          <w:color w:val="FF0000"/>
          <w:szCs w:val="22"/>
          <w:lang w:val="es-ES"/>
        </w:rPr>
      </w:pPr>
      <w:r>
        <w:rPr>
          <w:rFonts w:cs="Arial"/>
          <w:color w:val="FF0000"/>
          <w:szCs w:val="22"/>
          <w:lang w:val="es-ES"/>
        </w:rPr>
        <w:t>Talud=0.5 x12.34 m/0.35m=17.63 Es transitable</w:t>
      </w:r>
    </w:p>
    <w:p>
      <w:pPr>
        <w:pStyle w:val="Normal"/>
        <w:numPr>
          <w:ilvl w:val="0"/>
          <w:numId w:val="0"/>
        </w:numPr>
        <w:ind w:firstLine="567"/>
        <w:outlineLvl w:val="0"/>
        <w:rPr>
          <w:rFonts w:cs="Arial"/>
          <w:sz w:val="23"/>
          <w:szCs w:val="23"/>
          <w:lang w:val="es-ES"/>
        </w:rPr>
      </w:pPr>
      <w:r>
        <w:rPr>
          <w:rFonts w:cs="Arial"/>
          <w:sz w:val="23"/>
          <w:szCs w:val="23"/>
          <w:lang w:val="es-ES"/>
        </w:rPr>
      </w:r>
    </w:p>
    <w:p>
      <w:pPr>
        <w:pStyle w:val="Ttulo2"/>
        <w:rPr/>
      </w:pPr>
      <w:bookmarkStart w:id="58" w:name="_Toc494448999"/>
      <w:bookmarkStart w:id="59" w:name="_Toc494448795"/>
      <w:r>
        <w:rPr/>
        <w:t>Ejercicio 3: Dimensionamiento de Canal de Guarda</w:t>
      </w:r>
      <w:bookmarkEnd w:id="58"/>
      <w:bookmarkEnd w:id="59"/>
    </w:p>
    <w:p>
      <w:pPr>
        <w:pStyle w:val="Normal"/>
        <w:rPr/>
      </w:pPr>
      <w:r>
        <w:rPr/>
        <w:t>Diseñe un Canal de Guarda o Desvío de sección triangular a los fines de proteger un lote a forestar con un frente de 700 m respecto al área de aporte y un ingreso de Caudal Máximo de escurrimiento (Q) de 3 m</w:t>
      </w:r>
      <w:r>
        <w:rPr>
          <w:vertAlign w:val="superscript"/>
        </w:rPr>
        <w:t>3</w:t>
      </w:r>
      <w:r>
        <w:rPr/>
        <w:t>/s. Considere una Velocidad Máxima No Erosiva (VMNE) igual a 1 m/s y un Coeficiente de Seguridad del 30%.</w:t>
      </w:r>
    </w:p>
    <w:tbl>
      <w:tblPr>
        <w:tblStyle w:val="Manejo"/>
        <w:tblW w:w="4568" w:type="dxa"/>
        <w:jc w:val="left"/>
        <w:tblInd w:w="0" w:type="dxa"/>
        <w:tblBorders>
          <w:bottom w:val="double" w:sz="4" w:space="0" w:color="000000"/>
          <w:insideH w:val="double" w:sz="4" w:space="0" w:color="000000"/>
        </w:tblBorders>
        <w:tblCellMar>
          <w:top w:w="0" w:type="dxa"/>
          <w:left w:w="108" w:type="dxa"/>
          <w:bottom w:w="0" w:type="dxa"/>
          <w:right w:w="108" w:type="dxa"/>
        </w:tblCellMar>
        <w:tblLook w:val="04a0"/>
      </w:tblPr>
      <w:tblGrid>
        <w:gridCol w:w="2409"/>
        <w:gridCol w:w="2158"/>
      </w:tblGrid>
      <w:tr>
        <w:trPr/>
        <w:tc>
          <w:tcPr>
            <w:tcW w:w="2409" w:type="dxa"/>
            <w:tcBorders>
              <w:bottom w:val="double" w:sz="4" w:space="0" w:color="000000"/>
              <w:insideH w:val="double" w:sz="4" w:space="0" w:color="000000"/>
            </w:tcBorders>
            <w:shd w:fill="auto" w:val="clear"/>
            <w:vAlign w:val="center"/>
          </w:tcPr>
          <w:p>
            <w:pPr>
              <w:pStyle w:val="TablaImagenes"/>
              <w:spacing w:lineRule="auto" w:line="240" w:before="60" w:after="60"/>
              <w:jc w:val="center"/>
              <w:rPr>
                <w:b/>
                <w:b/>
              </w:rPr>
            </w:pPr>
            <w:r>
              <w:rPr>
                <w:b/>
                <w:color w:val="000000"/>
                <w:lang w:eastAsia="en-US"/>
              </w:rPr>
              <w:t>Fórmulas</w:t>
            </w:r>
          </w:p>
        </w:tc>
        <w:tc>
          <w:tcPr>
            <w:tcW w:w="2158" w:type="dxa"/>
            <w:tcBorders>
              <w:bottom w:val="double" w:sz="4" w:space="0" w:color="000000"/>
              <w:insideH w:val="double" w:sz="4" w:space="0" w:color="000000"/>
            </w:tcBorders>
            <w:shd w:fill="auto" w:val="clear"/>
            <w:vAlign w:val="center"/>
          </w:tcPr>
          <w:p>
            <w:pPr>
              <w:pStyle w:val="TablaImagenes"/>
              <w:spacing w:lineRule="auto" w:line="240" w:before="60" w:after="60"/>
              <w:jc w:val="center"/>
              <w:rPr>
                <w:b/>
                <w:b/>
              </w:rPr>
            </w:pPr>
            <w:r>
              <w:rPr>
                <w:b/>
                <w:color w:val="000000"/>
                <w:lang w:eastAsia="en-US"/>
              </w:rPr>
              <w:t>Sección TRIANGULAR</w:t>
            </w:r>
          </w:p>
        </w:tc>
      </w:tr>
      <w:tr>
        <w:trPr/>
        <w:tc>
          <w:tcPr>
            <w:tcW w:w="2409" w:type="dxa"/>
            <w:tcBorders>
              <w:top w:val="doub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i/>
                <w:i/>
              </w:rPr>
            </w:pPr>
            <w:r>
              <w:rPr>
                <w:i/>
                <w:color w:val="000000"/>
                <w:lang w:eastAsia="en-US"/>
              </w:rPr>
              <w:t>Ecuación de Continuidad</w:t>
            </w:r>
          </w:p>
        </w:tc>
        <w:tc>
          <w:tcPr>
            <w:tcW w:w="2158" w:type="dxa"/>
            <w:tcBorders>
              <w:top w:val="double" w:sz="4" w:space="0" w:color="000000"/>
              <w:bottom w:val="single" w:sz="4" w:space="0" w:color="000000"/>
              <w:insideH w:val="single" w:sz="4" w:space="0" w:color="000000"/>
            </w:tcBorders>
            <w:shd w:fill="auto" w:val="clear"/>
            <w:vAlign w:val="center"/>
          </w:tcPr>
          <w:p>
            <w:pPr>
              <w:pStyle w:val="Normal"/>
              <w:spacing w:lineRule="auto" w:line="276" w:before="120" w:after="120"/>
              <w:jc w:val="center"/>
              <w:rPr>
                <w:rFonts w:ascii="Cambria Math" w:hAnsi="Cambria Math" w:cs="Arial"/>
                <w:sz w:val="23"/>
                <w:szCs w:val="23"/>
              </w:rPr>
            </w:pPr>
            <w:r>
              <w:rPr>
                <w:color w:val="000000"/>
                <w:lang w:eastAsia="en-US"/>
              </w:rPr>
            </w:r>
            <m:oMath xmlns:m="http://schemas.openxmlformats.org/officeDocument/2006/math">
              <m:r>
                <w:rPr>
                  <w:rFonts w:ascii="Cambria Math" w:hAnsi="Cambria Math"/>
                </w:rPr>
                <m:t xml:space="preserve">Q</m:t>
              </m:r>
              <m:r>
                <w:rPr>
                  <w:rFonts w:ascii="Cambria Math" w:hAnsi="Cambria Math"/>
                </w:rPr>
                <m:t xml:space="preserve">=</m:t>
              </m:r>
              <m:r>
                <w:rPr>
                  <w:rFonts w:ascii="Cambria Math" w:hAnsi="Cambria Math"/>
                </w:rPr>
                <m:t xml:space="preserve">AC</m:t>
              </m:r>
              <m:r>
                <w:rPr>
                  <w:rFonts w:ascii="Cambria Math" w:hAnsi="Cambria Math"/>
                </w:rPr>
                <m:t xml:space="preserve">∗</m:t>
              </m:r>
              <m:r>
                <w:rPr>
                  <w:rFonts w:ascii="Cambria Math" w:hAnsi="Cambria Math"/>
                </w:rPr>
                <m:t xml:space="preserve">V</m:t>
              </m:r>
            </m:oMath>
          </w:p>
        </w:tc>
      </w:tr>
      <w:tr>
        <w:trPr/>
        <w:tc>
          <w:tcPr>
            <w:tcW w:w="2409"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i/>
                <w:i/>
              </w:rPr>
            </w:pPr>
            <w:r>
              <w:rPr>
                <w:i/>
                <w:color w:val="000000"/>
                <w:lang w:eastAsia="en-US"/>
              </w:rPr>
              <w:t>Área del Canal</w:t>
            </w:r>
          </w:p>
        </w:tc>
        <w:tc>
          <w:tcPr>
            <w:tcW w:w="21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AC</m:t>
              </m:r>
              <m:r>
                <w:rPr>
                  <w:rFonts w:ascii="Cambria Math" w:hAnsi="Cambria Math"/>
                </w:rPr>
                <m:t xml:space="preserve">=</m:t>
              </m:r>
              <m:f>
                <m:num>
                  <m:r>
                    <w:rPr>
                      <w:rFonts w:ascii="Cambria Math" w:hAnsi="Cambria Math"/>
                    </w:rPr>
                    <m:t xml:space="preserve">d</m:t>
                  </m:r>
                  <m:r>
                    <w:rPr>
                      <w:rFonts w:ascii="Cambria Math" w:hAnsi="Cambria Math"/>
                    </w:rPr>
                    <m:t xml:space="preserve">∗</m:t>
                  </m:r>
                  <m:r>
                    <w:rPr>
                      <w:rFonts w:ascii="Cambria Math" w:hAnsi="Cambria Math"/>
                    </w:rPr>
                    <m:t xml:space="preserve">t</m:t>
                  </m:r>
                </m:num>
                <m:den>
                  <m:r>
                    <w:rPr>
                      <w:rFonts w:ascii="Cambria Math" w:hAnsi="Cambria Math"/>
                    </w:rPr>
                    <m:t xml:space="preserve">2</m:t>
                  </m:r>
                </m:den>
              </m:f>
            </m:oMath>
          </w:p>
        </w:tc>
      </w:tr>
      <w:tr>
        <w:trPr/>
        <w:tc>
          <w:tcPr>
            <w:tcW w:w="2409"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i/>
                <w:i/>
              </w:rPr>
            </w:pPr>
            <w:r>
              <w:rPr>
                <w:i/>
                <w:color w:val="000000"/>
                <w:lang w:eastAsia="en-US"/>
              </w:rPr>
              <w:t>Radio Hidráulico</w:t>
            </w:r>
          </w:p>
        </w:tc>
        <w:tc>
          <w:tcPr>
            <w:tcW w:w="21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Rh</m:t>
              </m:r>
              <m:r>
                <w:rPr>
                  <w:rFonts w:ascii="Cambria Math" w:hAnsi="Cambria Math"/>
                </w:rPr>
                <m:t xml:space="preserve">=</m:t>
              </m:r>
              <m:f>
                <m:num>
                  <m:r>
                    <w:rPr>
                      <w:rFonts w:ascii="Cambria Math" w:hAnsi="Cambria Math"/>
                    </w:rPr>
                    <m:t xml:space="preserve">AC</m:t>
                  </m:r>
                </m:num>
                <m:den>
                  <m:r>
                    <w:rPr>
                      <w:rFonts w:ascii="Cambria Math" w:hAnsi="Cambria Math"/>
                    </w:rPr>
                    <m:t xml:space="preserve">PM</m:t>
                  </m:r>
                </m:den>
              </m:f>
            </m:oMath>
          </w:p>
        </w:tc>
      </w:tr>
      <w:tr>
        <w:trPr/>
        <w:tc>
          <w:tcPr>
            <w:tcW w:w="2409"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i/>
                <w:i/>
              </w:rPr>
            </w:pPr>
            <w:r>
              <w:rPr>
                <w:i/>
                <w:color w:val="000000"/>
                <w:lang w:eastAsia="en-US"/>
              </w:rPr>
              <w:t>Ecuación de Manning</w:t>
            </w:r>
          </w:p>
        </w:tc>
        <w:tc>
          <w:tcPr>
            <w:tcW w:w="2158" w:type="dxa"/>
            <w:tcBorders>
              <w:top w:val="single" w:sz="4" w:space="0" w:color="000000"/>
              <w:bottom w:val="single" w:sz="4" w:space="0" w:color="000000"/>
              <w:insideH w:val="single" w:sz="4" w:space="0" w:color="000000"/>
            </w:tcBorders>
            <w:shd w:fill="auto" w:val="clear"/>
            <w:vAlign w:val="center"/>
          </w:tcPr>
          <w:p>
            <w:pPr>
              <w:pStyle w:val="TablaImagenes"/>
              <w:spacing w:lineRule="auto" w:line="240" w:before="60" w:after="60"/>
              <w:jc w:val="center"/>
              <w:rPr>
                <w:rFonts w:ascii="Calibri" w:hAnsi="Calibri"/>
                <w:color w:val="000000"/>
                <w:lang w:eastAsia="en-US"/>
              </w:rPr>
            </w:pPr>
            <w:r>
              <w:rPr>
                <w:color w:val="000000"/>
                <w:lang w:eastAsia="en-US"/>
              </w:rPr>
            </w:r>
            <m:oMath xmlns:m="http://schemas.openxmlformats.org/officeDocument/2006/math">
              <m:r>
                <w:rPr>
                  <w:rFonts w:ascii="Cambria Math" w:hAnsi="Cambria Math"/>
                </w:rPr>
                <m:t xml:space="preserve">V</m:t>
              </m:r>
              <m:r>
                <w:rPr>
                  <w:rFonts w:ascii="Cambria Math" w:hAnsi="Cambria Math"/>
                </w:rPr>
                <m:t xml:space="preserve">=</m:t>
              </m:r>
              <m:f>
                <m:num>
                  <m:sSup>
                    <m:e>
                      <m:r>
                        <w:rPr>
                          <w:rFonts w:ascii="Cambria Math" w:hAnsi="Cambria Math"/>
                        </w:rPr>
                        <m:t xml:space="preserve">Rh</m:t>
                      </m:r>
                    </m:e>
                    <m:sup>
                      <m:f>
                        <m:fPr>
                          <m:type m:val="lin"/>
                        </m:fPr>
                        <m:num>
                          <m:r>
                            <w:rPr>
                              <w:rFonts w:ascii="Cambria Math" w:hAnsi="Cambria Math"/>
                            </w:rPr>
                            <m:t xml:space="preserve">2</m:t>
                          </m:r>
                        </m:num>
                        <m:den>
                          <m:r>
                            <w:rPr>
                              <w:rFonts w:ascii="Cambria Math" w:hAnsi="Cambria Math"/>
                            </w:rPr>
                            <m:t xml:space="preserve">3</m:t>
                          </m:r>
                        </m:den>
                      </m:f>
                    </m:sup>
                  </m:sSup>
                  <m:r>
                    <w:rPr>
                      <w:rFonts w:ascii="Cambria Math" w:hAnsi="Cambria Math"/>
                    </w:rPr>
                    <m:t xml:space="preserve">∗</m:t>
                  </m:r>
                  <m:sSup>
                    <m:e>
                      <m:r>
                        <w:rPr>
                          <w:rFonts w:ascii="Cambria Math" w:hAnsi="Cambria Math"/>
                        </w:rPr>
                        <m:t xml:space="preserve">S</m:t>
                      </m:r>
                    </m:e>
                    <m:sup>
                      <m:f>
                        <m:fPr>
                          <m:type m:val="lin"/>
                        </m:fPr>
                        <m:num>
                          <m:r>
                            <w:rPr>
                              <w:rFonts w:ascii="Cambria Math" w:hAnsi="Cambria Math"/>
                            </w:rPr>
                            <m:t xml:space="preserve">1</m:t>
                          </m:r>
                        </m:num>
                        <m:den>
                          <m:r>
                            <w:rPr>
                              <w:rFonts w:ascii="Cambria Math" w:hAnsi="Cambria Math"/>
                            </w:rPr>
                            <m:t xml:space="preserve">2</m:t>
                          </m:r>
                        </m:den>
                      </m:f>
                    </m:sup>
                  </m:sSup>
                </m:num>
                <m:den>
                  <m:r>
                    <w:rPr>
                      <w:rFonts w:ascii="Cambria Math" w:hAnsi="Cambria Math"/>
                    </w:rPr>
                    <m:t xml:space="preserve">n</m:t>
                  </m:r>
                </m:den>
              </m:f>
            </m:oMath>
          </w:p>
        </w:tc>
      </w:tr>
    </w:tbl>
    <w:p>
      <w:pPr>
        <w:pStyle w:val="Normal"/>
        <w:rPr/>
      </w:pPr>
      <w:r>
        <w:rPr/>
        <w:t>Donde</w:t>
      </w:r>
    </w:p>
    <w:p>
      <w:pPr>
        <w:pStyle w:val="Vietascrculos"/>
        <w:numPr>
          <w:ilvl w:val="0"/>
          <w:numId w:val="2"/>
        </w:numPr>
        <w:rPr/>
      </w:pPr>
      <w:r>
        <w:rPr/>
        <w:t>Q= Caudal (m</w:t>
      </w:r>
      <w:r>
        <w:rPr>
          <w:vertAlign w:val="superscript"/>
        </w:rPr>
        <w:t>3</w:t>
      </w:r>
      <w:r>
        <w:rPr/>
        <w:t>/s)</w:t>
      </w:r>
    </w:p>
    <w:p>
      <w:pPr>
        <w:pStyle w:val="Vietascrculos"/>
        <w:numPr>
          <w:ilvl w:val="0"/>
          <w:numId w:val="2"/>
        </w:numPr>
        <w:rPr/>
      </w:pPr>
      <w:r>
        <w:rPr/>
        <w:t>AC= Área del Canal (m</w:t>
      </w:r>
      <w:r>
        <w:rPr>
          <w:vertAlign w:val="superscript"/>
        </w:rPr>
        <w:t>2</w:t>
      </w:r>
      <w:r>
        <w:rPr/>
        <w:t>)</w:t>
      </w:r>
    </w:p>
    <w:p>
      <w:pPr>
        <w:pStyle w:val="Vietascrculos"/>
        <w:numPr>
          <w:ilvl w:val="0"/>
          <w:numId w:val="2"/>
        </w:numPr>
        <w:rPr/>
      </w:pPr>
      <w:r>
        <w:rPr/>
        <w:t>V= Velocidad de flujo (m/s)</w:t>
      </w:r>
    </w:p>
    <w:p>
      <w:pPr>
        <w:pStyle w:val="Vietascrculos"/>
        <w:numPr>
          <w:ilvl w:val="0"/>
          <w:numId w:val="2"/>
        </w:numPr>
        <w:rPr/>
      </w:pPr>
      <w:r>
        <w:rPr/>
        <w:t>d= Profundidad del Canal (m)</w:t>
      </w:r>
    </w:p>
    <w:p>
      <w:pPr>
        <w:pStyle w:val="Vietascrculos"/>
        <w:numPr>
          <w:ilvl w:val="0"/>
          <w:numId w:val="2"/>
        </w:numPr>
        <w:rPr/>
      </w:pPr>
      <w:r>
        <w:rPr/>
        <w:t>t= Ancho del Canal (m)</w:t>
      </w:r>
    </w:p>
    <w:p>
      <w:pPr>
        <w:pStyle w:val="Vietascrculos"/>
        <w:numPr>
          <w:ilvl w:val="0"/>
          <w:numId w:val="2"/>
        </w:numPr>
        <w:rPr/>
      </w:pPr>
      <w:r>
        <w:rPr/>
        <w:t>Rh= Radio hidráulico (m)</w:t>
      </w:r>
    </w:p>
    <w:p>
      <w:pPr>
        <w:pStyle w:val="Vietascrculos"/>
        <w:numPr>
          <w:ilvl w:val="0"/>
          <w:numId w:val="2"/>
        </w:numPr>
        <w:rPr/>
      </w:pPr>
      <w:r>
        <w:rPr/>
        <w:t>PM= Perímetro mojado (m)</w:t>
      </w:r>
    </w:p>
    <w:p>
      <w:pPr>
        <w:pStyle w:val="Vietascrculos"/>
        <w:numPr>
          <w:ilvl w:val="0"/>
          <w:numId w:val="2"/>
        </w:numPr>
        <w:rPr/>
      </w:pPr>
      <w:r>
        <w:rPr/>
        <w:t>S= Pendiente del canal (m/m)</w:t>
      </w:r>
    </w:p>
    <w:p>
      <w:pPr>
        <w:pStyle w:val="Vietascrculos"/>
        <w:numPr>
          <w:ilvl w:val="0"/>
          <w:numId w:val="2"/>
        </w:numPr>
        <w:rPr>
          <w:lang w:val="pt-BR"/>
        </w:rPr>
      </w:pPr>
      <w:r>
        <w:rPr>
          <w:lang w:val="pt-BR"/>
        </w:rPr>
        <w:t>n= Coeficientes de Rugosidad de Manning (adimensional)</w:t>
      </w:r>
    </w:p>
    <w:p>
      <w:pPr>
        <w:pStyle w:val="Vietascrculos"/>
        <w:numPr>
          <w:ilvl w:val="0"/>
          <w:numId w:val="8"/>
        </w:numPr>
        <w:ind w:firstLine="349"/>
        <w:rPr>
          <w:lang w:val="pt-BR"/>
        </w:rPr>
      </w:pPr>
      <w:r>
        <w:rPr>
          <w:lang w:val="pt-BR"/>
        </w:rPr>
        <w:t>n= 0,025 Para suelos desnudos</w:t>
      </w:r>
    </w:p>
    <w:p>
      <w:pPr>
        <w:pStyle w:val="Vietascrculos"/>
        <w:numPr>
          <w:ilvl w:val="0"/>
          <w:numId w:val="8"/>
        </w:numPr>
        <w:ind w:firstLine="349"/>
        <w:rPr>
          <w:lang w:val="pt-BR"/>
        </w:rPr>
      </w:pPr>
      <w:r>
        <w:rPr>
          <w:lang w:val="pt-BR"/>
        </w:rPr>
        <w:t>n= 0,035 pobremente vegetados</w:t>
      </w:r>
    </w:p>
    <w:p>
      <w:pPr>
        <w:pStyle w:val="Vietascrculos"/>
        <w:numPr>
          <w:ilvl w:val="0"/>
          <w:numId w:val="8"/>
        </w:numPr>
        <w:ind w:firstLine="349"/>
        <w:rPr>
          <w:lang w:val="pt-BR"/>
        </w:rPr>
      </w:pPr>
      <w:r>
        <w:rPr>
          <w:lang w:val="pt-BR"/>
        </w:rPr>
        <w:t>n= 0,045 medianamente vegetados</w:t>
      </w:r>
    </w:p>
    <w:p>
      <w:pPr>
        <w:pStyle w:val="Normal"/>
        <w:jc w:val="left"/>
        <w:rPr>
          <w:rFonts w:cs="Arial"/>
          <w:sz w:val="23"/>
          <w:szCs w:val="23"/>
        </w:rPr>
      </w:pPr>
      <w:r>
        <w:rPr>
          <w:rFonts w:cs="Arial"/>
          <w:sz w:val="23"/>
          <w:szCs w:val="23"/>
        </w:rPr>
      </w:r>
    </w:p>
    <w:p>
      <w:pPr>
        <w:pStyle w:val="Normal"/>
        <w:rPr>
          <w:szCs w:val="22"/>
        </w:rPr>
      </w:pPr>
      <w:r>
        <w:rPr>
          <w:b/>
          <w:szCs w:val="22"/>
        </w:rPr>
        <w:t>Calcule</w:t>
      </w:r>
      <w:r>
        <w:rPr>
          <w:szCs w:val="22"/>
        </w:rPr>
        <w:t>:</w:t>
      </w:r>
    </w:p>
    <w:p>
      <w:pPr>
        <w:pStyle w:val="ListParagraph"/>
        <w:numPr>
          <w:ilvl w:val="0"/>
          <w:numId w:val="9"/>
        </w:numPr>
        <w:ind w:left="0" w:hanging="0"/>
        <w:rPr>
          <w:szCs w:val="22"/>
        </w:rPr>
      </w:pPr>
      <w:r>
        <w:rPr>
          <w:szCs w:val="22"/>
        </w:rPr>
        <w:t>Ancho del canal (t)</w:t>
      </w:r>
    </w:p>
    <w:p>
      <w:pPr>
        <w:pStyle w:val="ListParagraph"/>
        <w:numPr>
          <w:ilvl w:val="0"/>
          <w:numId w:val="9"/>
        </w:numPr>
        <w:ind w:left="0" w:hanging="0"/>
        <w:rPr>
          <w:szCs w:val="22"/>
        </w:rPr>
      </w:pPr>
      <w:r>
        <w:rPr>
          <w:szCs w:val="22"/>
        </w:rPr>
        <w:t>Profundidad del canal (d)</w:t>
      </w:r>
    </w:p>
    <w:p>
      <w:pPr>
        <w:pStyle w:val="ListParagraph"/>
        <w:numPr>
          <w:ilvl w:val="0"/>
          <w:numId w:val="9"/>
        </w:numPr>
        <w:ind w:left="0" w:hanging="0"/>
        <w:rPr>
          <w:szCs w:val="22"/>
        </w:rPr>
      </w:pPr>
      <w:r>
        <w:rPr>
          <w:szCs w:val="22"/>
        </w:rPr>
        <w:t>Gradiente del canal (s)</w:t>
      </w:r>
    </w:p>
    <w:p>
      <w:pPr>
        <w:pStyle w:val="ListParagraph"/>
        <w:numPr>
          <w:ilvl w:val="0"/>
          <w:numId w:val="9"/>
        </w:numPr>
        <w:ind w:left="0" w:hanging="0"/>
        <w:rPr>
          <w:szCs w:val="22"/>
        </w:rPr>
      </w:pPr>
      <w:r>
        <w:rPr>
          <w:szCs w:val="22"/>
        </w:rPr>
        <w:t>Ancho de caras y taludes</w:t>
      </w:r>
    </w:p>
    <w:p>
      <w:pPr>
        <w:pStyle w:val="Normal"/>
        <w:rPr>
          <w:rFonts w:ascii="Calibri" w:hAnsi="Calibri" w:asciiTheme="minorHAnsi" w:hAnsiTheme="minorHAnsi"/>
          <w:szCs w:val="22"/>
        </w:rPr>
      </w:pPr>
      <w:r>
        <w:rPr>
          <w:rFonts w:asciiTheme="minorHAnsi" w:hAnsiTheme="minorHAnsi"/>
          <w:szCs w:val="22"/>
        </w:rPr>
      </w:r>
    </w:p>
    <w:p>
      <w:pPr>
        <w:pStyle w:val="Normal"/>
        <w:rPr>
          <w:rFonts w:ascii="Calibri" w:hAnsi="Calibri" w:asciiTheme="minorHAnsi" w:hAnsiTheme="minorHAnsi"/>
          <w:color w:val="FF0000"/>
          <w:szCs w:val="22"/>
        </w:rPr>
      </w:pPr>
      <w:r>
        <w:rPr>
          <w:rFonts w:asciiTheme="minorHAnsi" w:hAnsiTheme="minorHAnsi"/>
          <w:color w:val="FF0000"/>
          <w:szCs w:val="22"/>
        </w:rPr>
        <w:t>Resolución:</w:t>
      </w:r>
    </w:p>
    <w:p>
      <w:pPr>
        <w:pStyle w:val="ListParagraph"/>
        <w:numPr>
          <w:ilvl w:val="0"/>
          <w:numId w:val="6"/>
        </w:numPr>
        <w:tabs>
          <w:tab w:val="clear" w:pos="284"/>
        </w:tabs>
        <w:spacing w:lineRule="auto" w:line="276"/>
        <w:rPr>
          <w:rFonts w:ascii="Calibri" w:hAnsi="Calibri" w:asciiTheme="minorHAnsi" w:hAnsiTheme="minorHAnsi"/>
          <w:color w:val="FF0000"/>
          <w:szCs w:val="22"/>
        </w:rPr>
      </w:pPr>
      <w:r>
        <w:rPr>
          <w:rFonts w:asciiTheme="minorHAnsi" w:hAnsiTheme="minorHAnsi"/>
          <w:color w:val="FF0000"/>
          <w:szCs w:val="22"/>
        </w:rPr>
        <w:t xml:space="preserve">Ac= </w:t>
      </w:r>
      <w:r>
        <w:rPr>
          <w:rFonts w:asciiTheme="minorHAnsi" w:hAnsiTheme="minorHAnsi"/>
          <w:color w:val="FF0000"/>
          <w:szCs w:val="22"/>
          <w:u w:val="single"/>
        </w:rPr>
        <w:t>3 m3/seg</w:t>
      </w:r>
      <w:r>
        <w:rPr>
          <w:rFonts w:asciiTheme="minorHAnsi" w:hAnsiTheme="minorHAnsi"/>
          <w:color w:val="FF0000"/>
          <w:szCs w:val="22"/>
        </w:rPr>
        <w:t>.= 3 m2 x 1.3= 3,9 m2.</w:t>
      </w:r>
    </w:p>
    <w:p>
      <w:pPr>
        <w:pStyle w:val="Normal"/>
        <w:spacing w:before="0" w:after="0"/>
        <w:rPr>
          <w:rFonts w:ascii="Calibri" w:hAnsi="Calibri" w:asciiTheme="minorHAnsi" w:hAnsiTheme="minorHAnsi"/>
          <w:color w:val="FF0000"/>
          <w:szCs w:val="22"/>
        </w:rPr>
      </w:pPr>
      <w:r>
        <w:rPr>
          <w:rFonts w:asciiTheme="minorHAnsi" w:hAnsiTheme="minorHAnsi"/>
          <w:color w:val="FF0000"/>
          <w:szCs w:val="22"/>
        </w:rPr>
        <w:t xml:space="preserve">       </w:t>
      </w:r>
      <w:r>
        <w:rPr>
          <w:rFonts w:asciiTheme="minorHAnsi" w:hAnsiTheme="minorHAnsi"/>
          <w:color w:val="FF0000"/>
          <w:szCs w:val="22"/>
        </w:rPr>
        <w:t>1 m3/seg.</w:t>
      </w:r>
    </w:p>
    <w:p>
      <w:pPr>
        <w:pStyle w:val="Normal"/>
        <w:spacing w:before="0" w:after="0"/>
        <w:rPr>
          <w:rFonts w:ascii="Calibri" w:hAnsi="Calibri" w:asciiTheme="minorHAnsi" w:hAnsiTheme="minorHAnsi"/>
          <w:color w:val="FF0000"/>
          <w:szCs w:val="22"/>
        </w:rPr>
      </w:pPr>
      <w:r>
        <w:rPr>
          <w:rFonts w:asciiTheme="minorHAnsi" w:hAnsiTheme="minorHAnsi"/>
          <w:color w:val="FF0000"/>
          <w:szCs w:val="22"/>
        </w:rPr>
      </w:r>
    </w:p>
    <w:p>
      <w:pPr>
        <w:pStyle w:val="ListParagraph"/>
        <w:numPr>
          <w:ilvl w:val="0"/>
          <w:numId w:val="6"/>
        </w:numPr>
        <w:tabs>
          <w:tab w:val="clear" w:pos="284"/>
        </w:tabs>
        <w:spacing w:lineRule="auto" w:line="276"/>
        <w:rPr>
          <w:rFonts w:ascii="Calibri" w:hAnsi="Calibri" w:asciiTheme="minorHAnsi" w:hAnsiTheme="minorHAnsi"/>
          <w:color w:val="FF0000"/>
          <w:szCs w:val="22"/>
        </w:rPr>
      </w:pPr>
      <w:r>
        <w:rPr>
          <w:rFonts w:asciiTheme="minorHAnsi" w:hAnsiTheme="minorHAnsi"/>
          <w:color w:val="FF0000"/>
          <w:szCs w:val="22"/>
        </w:rPr>
        <w:t>Para un t = 10 m</w:t>
      </w:r>
    </w:p>
    <w:p>
      <w:pPr>
        <w:pStyle w:val="Normal"/>
        <w:spacing w:before="0" w:after="0"/>
        <w:rPr>
          <w:rFonts w:ascii="Calibri" w:hAnsi="Calibri" w:asciiTheme="minorHAnsi" w:hAnsiTheme="minorHAnsi"/>
          <w:color w:val="FF0000"/>
          <w:szCs w:val="22"/>
        </w:rPr>
      </w:pPr>
      <w:r>
        <w:rPr>
          <w:rFonts w:asciiTheme="minorHAnsi" w:hAnsiTheme="minorHAnsi"/>
          <w:color w:val="FF0000"/>
          <w:szCs w:val="22"/>
        </w:rPr>
      </w:r>
    </w:p>
    <w:p>
      <w:pPr>
        <w:pStyle w:val="ListParagraph"/>
        <w:numPr>
          <w:ilvl w:val="0"/>
          <w:numId w:val="6"/>
        </w:numPr>
        <w:tabs>
          <w:tab w:val="clear" w:pos="284"/>
        </w:tabs>
        <w:spacing w:lineRule="auto" w:line="276"/>
        <w:rPr>
          <w:rFonts w:ascii="Calibri" w:hAnsi="Calibri" w:asciiTheme="minorHAnsi" w:hAnsiTheme="minorHAnsi"/>
          <w:color w:val="FF0000"/>
          <w:szCs w:val="22"/>
        </w:rPr>
      </w:pPr>
      <w:r>
        <w:rPr>
          <w:rFonts w:asciiTheme="minorHAnsi" w:hAnsiTheme="minorHAnsi"/>
          <w:color w:val="FF0000"/>
          <w:szCs w:val="22"/>
        </w:rPr>
        <w:t xml:space="preserve">D = </w:t>
      </w:r>
      <w:r>
        <w:rPr>
          <w:rFonts w:asciiTheme="minorHAnsi" w:hAnsiTheme="minorHAnsi"/>
          <w:color w:val="FF0000"/>
          <w:szCs w:val="22"/>
          <w:u w:val="single"/>
        </w:rPr>
        <w:t xml:space="preserve">3,9 m2 x 2= </w:t>
      </w:r>
      <w:r>
        <w:rPr>
          <w:rFonts w:asciiTheme="minorHAnsi" w:hAnsiTheme="minorHAnsi"/>
          <w:color w:val="FF0000"/>
          <w:szCs w:val="22"/>
        </w:rPr>
        <w:t>0,78 m</w:t>
      </w:r>
    </w:p>
    <w:p>
      <w:pPr>
        <w:pStyle w:val="Normal"/>
        <w:spacing w:before="0" w:after="0"/>
        <w:rPr>
          <w:rFonts w:ascii="Calibri" w:hAnsi="Calibri" w:asciiTheme="minorHAnsi" w:hAnsiTheme="minorHAnsi"/>
          <w:color w:val="FF0000"/>
          <w:szCs w:val="22"/>
        </w:rPr>
      </w:pPr>
      <w:r>
        <w:rPr>
          <w:rFonts w:asciiTheme="minorHAnsi" w:hAnsiTheme="minorHAnsi"/>
          <w:color w:val="FF0000"/>
          <w:szCs w:val="22"/>
        </w:rPr>
        <w:t xml:space="preserve">             </w:t>
      </w:r>
      <w:r>
        <w:rPr>
          <w:rFonts w:asciiTheme="minorHAnsi" w:hAnsiTheme="minorHAnsi"/>
          <w:color w:val="FF0000"/>
          <w:szCs w:val="22"/>
        </w:rPr>
        <w:t>10m</w:t>
      </w:r>
    </w:p>
    <w:p>
      <w:pPr>
        <w:pStyle w:val="ListParagraph"/>
        <w:numPr>
          <w:ilvl w:val="0"/>
          <w:numId w:val="6"/>
        </w:numPr>
        <w:tabs>
          <w:tab w:val="clear" w:pos="284"/>
        </w:tabs>
        <w:spacing w:lineRule="auto" w:line="276"/>
        <w:rPr>
          <w:rFonts w:ascii="Calibri" w:hAnsi="Calibri" w:asciiTheme="minorHAnsi" w:hAnsiTheme="minorHAnsi"/>
          <w:color w:val="FF0000"/>
          <w:szCs w:val="22"/>
        </w:rPr>
      </w:pPr>
      <w:r>
        <w:rPr>
          <w:rFonts w:asciiTheme="minorHAnsi" w:hAnsiTheme="minorHAnsi"/>
          <w:color w:val="FF0000"/>
          <w:szCs w:val="22"/>
        </w:rPr>
        <w:t>Aplicando Pitágoras</w:t>
      </w:r>
    </w:p>
    <w:p>
      <w:pPr>
        <w:pStyle w:val="Normal"/>
        <w:spacing w:before="0" w:after="0"/>
        <w:ind w:firstLine="360"/>
        <w:rPr>
          <w:rFonts w:ascii="Calibri" w:hAnsi="Calibri" w:asciiTheme="minorHAnsi" w:hAnsiTheme="minorHAnsi"/>
          <w:color w:val="FF0000"/>
          <w:szCs w:val="22"/>
        </w:rPr>
      </w:pPr>
      <w:r>
        <w:rPr>
          <w:rFonts w:asciiTheme="minorHAnsi" w:hAnsiTheme="minorHAnsi"/>
          <w:color w:val="FF0000"/>
          <w:szCs w:val="22"/>
        </w:rPr>
        <w:t>PM= 5,06 x 2 = 10,12 m</w:t>
      </w:r>
    </w:p>
    <w:p>
      <w:pPr>
        <w:pStyle w:val="Normal"/>
        <w:spacing w:before="0" w:after="0"/>
        <w:rPr>
          <w:rFonts w:ascii="Calibri" w:hAnsi="Calibri" w:asciiTheme="minorHAnsi" w:hAnsiTheme="minorHAnsi"/>
          <w:color w:val="FF0000"/>
          <w:szCs w:val="22"/>
          <w:lang w:val="en-US"/>
        </w:rPr>
      </w:pPr>
      <w:r>
        <w:rPr>
          <w:rFonts w:asciiTheme="minorHAnsi" w:hAnsiTheme="minorHAnsi"/>
          <w:color w:val="FF0000"/>
          <w:szCs w:val="22"/>
          <w:lang w:val="en-US"/>
        </w:rPr>
      </w:r>
    </w:p>
    <w:p>
      <w:pPr>
        <w:pStyle w:val="ListParagraph"/>
        <w:numPr>
          <w:ilvl w:val="0"/>
          <w:numId w:val="6"/>
        </w:numPr>
        <w:tabs>
          <w:tab w:val="clear" w:pos="284"/>
        </w:tabs>
        <w:spacing w:lineRule="auto" w:line="276"/>
        <w:rPr>
          <w:rFonts w:ascii="Calibri" w:hAnsi="Calibri" w:asciiTheme="minorHAnsi" w:hAnsiTheme="minorHAnsi"/>
          <w:color w:val="FF0000"/>
          <w:szCs w:val="22"/>
          <w:lang w:val="en-US"/>
        </w:rPr>
      </w:pPr>
      <w:r>
        <w:rPr>
          <w:rFonts w:asciiTheme="minorHAnsi" w:hAnsiTheme="minorHAnsi"/>
          <w:color w:val="FF0000"/>
          <w:szCs w:val="22"/>
          <w:lang w:val="en-US"/>
        </w:rPr>
        <w:t xml:space="preserve">Rh= </w:t>
      </w:r>
      <w:r>
        <w:rPr>
          <w:rFonts w:asciiTheme="minorHAnsi" w:hAnsiTheme="minorHAnsi"/>
          <w:color w:val="FF0000"/>
          <w:szCs w:val="22"/>
          <w:u w:val="single"/>
          <w:lang w:val="en-US"/>
        </w:rPr>
        <w:t xml:space="preserve">3,9 m2 </w:t>
      </w:r>
      <w:r>
        <w:rPr>
          <w:rFonts w:asciiTheme="minorHAnsi" w:hAnsiTheme="minorHAnsi"/>
          <w:color w:val="FF0000"/>
          <w:szCs w:val="22"/>
          <w:lang w:val="en-US"/>
        </w:rPr>
        <w:t>= 0,38</w:t>
      </w:r>
    </w:p>
    <w:p>
      <w:pPr>
        <w:pStyle w:val="Normal"/>
        <w:spacing w:before="0" w:after="0"/>
        <w:rPr>
          <w:rFonts w:ascii="Calibri" w:hAnsi="Calibri" w:asciiTheme="minorHAnsi" w:hAnsiTheme="minorHAnsi"/>
          <w:color w:val="FF0000"/>
          <w:szCs w:val="22"/>
          <w:lang w:val="en-US"/>
        </w:rPr>
      </w:pPr>
      <w:r>
        <w:rPr>
          <w:rFonts w:asciiTheme="minorHAnsi" w:hAnsiTheme="minorHAnsi"/>
          <w:color w:val="FF0000"/>
          <w:szCs w:val="22"/>
          <w:lang w:val="en-US"/>
        </w:rPr>
        <w:t xml:space="preserve">        </w:t>
      </w:r>
      <w:r>
        <w:rPr>
          <w:rFonts w:asciiTheme="minorHAnsi" w:hAnsiTheme="minorHAnsi"/>
          <w:color w:val="FF0000"/>
          <w:szCs w:val="22"/>
          <w:lang w:val="en-US"/>
        </w:rPr>
        <w:t>10,29m</w:t>
      </w:r>
    </w:p>
    <w:p>
      <w:pPr>
        <w:pStyle w:val="Normal"/>
        <w:spacing w:before="0" w:after="0"/>
        <w:rPr>
          <w:rFonts w:ascii="Calibri" w:hAnsi="Calibri" w:asciiTheme="minorHAnsi" w:hAnsiTheme="minorHAnsi"/>
          <w:color w:val="FF0000"/>
          <w:szCs w:val="22"/>
          <w:lang w:val="en-US"/>
        </w:rPr>
      </w:pPr>
      <w:r>
        <w:rPr>
          <w:rFonts w:asciiTheme="minorHAnsi" w:hAnsiTheme="minorHAnsi"/>
          <w:color w:val="FF0000"/>
          <w:szCs w:val="22"/>
          <w:lang w:val="en-US"/>
        </w:rPr>
      </w:r>
    </w:p>
    <w:p>
      <w:pPr>
        <w:pStyle w:val="Normal"/>
        <w:spacing w:before="0" w:after="0"/>
        <w:rPr>
          <w:rFonts w:ascii="Calibri" w:hAnsi="Calibri" w:asciiTheme="minorHAnsi" w:hAnsiTheme="minorHAnsi"/>
          <w:color w:val="FF0000"/>
          <w:szCs w:val="22"/>
          <w:lang w:val="en-US"/>
        </w:rPr>
      </w:pPr>
      <w:r>
        <w:rPr>
          <w:rFonts w:asciiTheme="minorHAnsi" w:hAnsiTheme="minorHAnsi"/>
          <w:color w:val="FF0000"/>
          <w:szCs w:val="22"/>
          <w:lang w:val="en-US"/>
        </w:rPr>
      </w:r>
    </w:p>
    <w:p>
      <w:pPr>
        <w:pStyle w:val="Normal"/>
        <w:spacing w:before="0" w:after="0"/>
        <w:ind w:firstLine="708"/>
        <w:rPr>
          <w:rFonts w:ascii="Calibri" w:hAnsi="Calibri" w:asciiTheme="minorHAnsi" w:hAnsiTheme="minorHAnsi"/>
          <w:color w:val="FF0000"/>
          <w:szCs w:val="22"/>
          <w:lang w:val="en-US"/>
        </w:rPr>
      </w:pPr>
      <w:r>
        <w:rPr>
          <w:rFonts w:asciiTheme="minorHAnsi" w:hAnsiTheme="minorHAnsi"/>
          <w:color w:val="FF0000"/>
          <w:szCs w:val="22"/>
          <w:lang w:val="en-US"/>
        </w:rPr>
        <w:t>6)</w:t>
      </w:r>
    </w:p>
    <w:p>
      <w:pPr>
        <w:pStyle w:val="Normal"/>
        <w:spacing w:before="0" w:after="0"/>
        <w:ind w:firstLine="708"/>
        <w:rPr>
          <w:rFonts w:ascii="Calibri" w:hAnsi="Calibri" w:asciiTheme="minorHAnsi" w:hAnsiTheme="minorHAnsi"/>
          <w:color w:val="FF0000"/>
          <w:szCs w:val="22"/>
          <w:lang w:val="en-US"/>
        </w:rPr>
      </w:pPr>
      <w:r>
        <w:rPr>
          <w:rFonts w:asciiTheme="minorHAnsi" w:hAnsiTheme="minorHAnsi"/>
          <w:color w:val="FF0000"/>
          <w:szCs w:val="22"/>
          <w:lang w:val="en-US"/>
        </w:rPr>
        <w:t>n= 0,025</w:t>
      </w:r>
    </w:p>
    <w:p>
      <w:pPr>
        <w:pStyle w:val="Normal"/>
        <w:spacing w:before="0" w:after="0"/>
        <w:rPr>
          <w:rFonts w:ascii="Calibri" w:hAnsi="Calibri" w:asciiTheme="minorHAnsi" w:hAnsiTheme="minorHAnsi"/>
          <w:color w:val="FF0000"/>
          <w:szCs w:val="22"/>
          <w:lang w:val="en-US"/>
        </w:rPr>
      </w:pPr>
      <w:r>
        <w:rPr>
          <w:rFonts w:asciiTheme="minorHAnsi" w:hAnsiTheme="minorHAnsi"/>
          <w:color w:val="FF0000"/>
          <w:szCs w:val="22"/>
          <w:lang w:val="en-US"/>
        </w:rPr>
        <w:t xml:space="preserve">                                                                     </w:t>
      </w:r>
    </w:p>
    <w:p>
      <w:pPr>
        <w:pStyle w:val="Normal"/>
        <w:ind w:firstLine="708"/>
        <w:rPr>
          <w:rFonts w:ascii="Calibri" w:hAnsi="Calibri" w:asciiTheme="minorHAnsi" w:hAnsiTheme="minorHAnsi"/>
          <w:color w:val="FF0000"/>
          <w:szCs w:val="22"/>
          <w:lang w:val="en-US"/>
        </w:rPr>
      </w:pPr>
      <w:r>
        <w:rPr>
          <w:rFonts w:asciiTheme="minorHAnsi" w:hAnsiTheme="minorHAnsi"/>
          <w:color w:val="FF0000"/>
          <w:szCs w:val="22"/>
          <w:lang w:val="en-US"/>
        </w:rPr>
        <w:t xml:space="preserve"> </w:t>
      </w:r>
      <w:r>
        <w:rPr/>
      </w:r>
      <m:oMath xmlns:m="http://schemas.openxmlformats.org/officeDocument/2006/math">
        <m:r>
          <w:rPr>
            <w:rFonts w:ascii="Cambria Math" w:hAnsi="Cambria Math"/>
          </w:rPr>
          <m:t xml:space="preserve">s</m:t>
        </m:r>
        <m:r>
          <w:rPr>
            <w:rFonts w:ascii="Cambria Math" w:hAnsi="Cambria Math"/>
          </w:rPr>
          <m:t xml:space="preserve">=</m:t>
        </m:r>
        <m:sSup>
          <m:e>
            <m:d>
              <m:dPr>
                <m:begChr m:val=""/>
                <m:endChr m:val=")"/>
              </m:dPr>
              <m:e>
                <m:d>
                  <m:dPr>
                    <m:begChr m:val="("/>
                    <m:endChr m:val=""/>
                  </m:dPr>
                  <m:e>
                    <m:f>
                      <m:num>
                        <m:r>
                          <w:rPr>
                            <w:rFonts w:ascii="Cambria Math" w:hAnsi="Cambria Math"/>
                          </w:rPr>
                          <m:t xml:space="preserve">1</m:t>
                        </m:r>
                        <m:r>
                          <w:rPr>
                            <w:rFonts w:ascii="Cambria Math" w:hAnsi="Cambria Math"/>
                          </w:rPr>
                          <m:t xml:space="preserve">x</m:t>
                        </m:r>
                        <m:r>
                          <w:rPr>
                            <w:rFonts w:ascii="Cambria Math" w:hAnsi="Cambria Math"/>
                          </w:rPr>
                          <m:t xml:space="preserve">0,025</m:t>
                        </m:r>
                      </m:num>
                      <m:den>
                        <m:r>
                          <w:rPr>
                            <w:rFonts w:ascii="Cambria Math" w:hAnsi="Cambria Math"/>
                          </w:rPr>
                          <m:t xml:space="preserve">0,038</m:t>
                        </m:r>
                        <m:r>
                          <w:rPr>
                            <w:rFonts w:ascii="Cambria Math" w:hAnsi="Cambria Math"/>
                          </w:rPr>
                          <m:t xml:space="preserve">0,66</m:t>
                        </m:r>
                      </m:den>
                    </m:f>
                  </m:e>
                </m:d>
              </m:e>
            </m:d>
          </m:e>
          <m:sup>
            <m:r>
              <w:rPr>
                <w:rFonts w:ascii="Cambria Math" w:hAnsi="Cambria Math"/>
              </w:rPr>
              <m:t xml:space="preserve">2</m:t>
            </m:r>
          </m:sup>
        </m:sSup>
      </m:oMath>
      <w:r>
        <w:rPr>
          <w:rFonts w:asciiTheme="minorHAnsi" w:hAnsiTheme="minorHAnsi"/>
          <w:iCs/>
          <w:color w:val="FF0000"/>
          <w:szCs w:val="22"/>
          <w:lang w:val="en-US"/>
        </w:rPr>
        <w:t>= 2,24 0/00</w:t>
      </w:r>
    </w:p>
    <w:p>
      <w:pPr>
        <w:pStyle w:val="ListParagraph"/>
        <w:numPr>
          <w:ilvl w:val="0"/>
          <w:numId w:val="7"/>
        </w:numPr>
        <w:tabs>
          <w:tab w:val="clear" w:pos="284"/>
        </w:tabs>
        <w:spacing w:lineRule="auto" w:line="276" w:before="0" w:after="200"/>
        <w:contextualSpacing/>
        <w:rPr>
          <w:rFonts w:ascii="Calibri" w:hAnsi="Calibri" w:asciiTheme="minorHAnsi" w:hAnsiTheme="minorHAnsi"/>
          <w:color w:val="FF0000"/>
          <w:szCs w:val="22"/>
          <w:lang w:val="en-US"/>
        </w:rPr>
      </w:pPr>
      <w:r>
        <w:rPr>
          <w:rFonts w:asciiTheme="minorHAnsi" w:hAnsiTheme="minorHAnsi"/>
          <w:color w:val="FF0000"/>
          <w:szCs w:val="22"/>
          <w:lang w:val="en-US"/>
        </w:rPr>
        <w:t>Ancho de caras = 5,02 m</w:t>
      </w:r>
    </w:p>
    <w:p>
      <w:pPr>
        <w:pStyle w:val="ListParagraph"/>
        <w:numPr>
          <w:ilvl w:val="0"/>
          <w:numId w:val="7"/>
        </w:numPr>
        <w:tabs>
          <w:tab w:val="clear" w:pos="284"/>
        </w:tabs>
        <w:spacing w:lineRule="auto" w:line="276"/>
        <w:ind w:left="714" w:hanging="357"/>
        <w:rPr>
          <w:rFonts w:ascii="Calibri" w:hAnsi="Calibri" w:asciiTheme="minorHAnsi" w:hAnsiTheme="minorHAnsi"/>
          <w:color w:val="FF0000"/>
          <w:szCs w:val="22"/>
          <w:lang w:val="en-US"/>
        </w:rPr>
      </w:pPr>
      <w:r>
        <w:rPr>
          <w:rFonts w:asciiTheme="minorHAnsi" w:hAnsiTheme="minorHAnsi"/>
          <w:color w:val="FF0000"/>
          <w:szCs w:val="22"/>
          <w:lang w:val="en-US"/>
        </w:rPr>
        <w:t xml:space="preserve">Talud = </w:t>
      </w:r>
      <w:r>
        <w:rPr>
          <w:rFonts w:asciiTheme="minorHAnsi" w:hAnsiTheme="minorHAnsi"/>
          <w:color w:val="FF0000"/>
          <w:szCs w:val="22"/>
          <w:u w:val="single"/>
          <w:lang w:val="en-US"/>
        </w:rPr>
        <w:t>5,06</w:t>
      </w:r>
      <w:r>
        <w:rPr>
          <w:rFonts w:asciiTheme="minorHAnsi" w:hAnsiTheme="minorHAnsi"/>
          <w:color w:val="FF0000"/>
          <w:szCs w:val="22"/>
          <w:lang w:val="en-US"/>
        </w:rPr>
        <w:t xml:space="preserve"> = 6,48:1</w:t>
      </w:r>
    </w:p>
    <w:p>
      <w:pPr>
        <w:pStyle w:val="ListParagraph"/>
        <w:ind w:left="714" w:firstLine="567"/>
        <w:rPr>
          <w:rFonts w:ascii="Calibri" w:hAnsi="Calibri" w:asciiTheme="minorHAnsi" w:hAnsiTheme="minorHAnsi"/>
          <w:color w:val="FF0000"/>
          <w:szCs w:val="22"/>
          <w:lang w:val="en-US"/>
        </w:rPr>
      </w:pPr>
      <w:r>
        <w:rPr>
          <w:rFonts w:asciiTheme="minorHAnsi" w:hAnsiTheme="minorHAnsi"/>
          <w:color w:val="FF0000"/>
          <w:szCs w:val="22"/>
          <w:lang w:val="en-US"/>
        </w:rPr>
        <w:t xml:space="preserve">               </w:t>
      </w:r>
      <w:r>
        <w:rPr>
          <w:rFonts w:asciiTheme="minorHAnsi" w:hAnsiTheme="minorHAnsi"/>
          <w:color w:val="FF0000"/>
          <w:szCs w:val="22"/>
          <w:lang w:val="en-US"/>
        </w:rPr>
        <w:t>0,78</w:t>
      </w:r>
    </w:p>
    <w:p>
      <w:pPr>
        <w:pStyle w:val="Normal"/>
        <w:spacing w:before="0" w:after="120"/>
        <w:rPr/>
      </w:pPr>
      <w:r>
        <w:rPr/>
      </w:r>
    </w:p>
    <w:sectPr>
      <w:headerReference w:type="default" r:id="rId15"/>
      <w:footerReference w:type="default" r:id="rId16"/>
      <w:type w:val="nextPage"/>
      <w:pgSz w:w="11906" w:h="16838"/>
      <w:pgMar w:left="1134" w:right="1134" w:header="709" w:top="1134" w:footer="709" w:bottom="1134" w:gutter="0"/>
      <w:pgNumType w:start="1"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ocido" w:date="2020-04-14T15:31:05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Es una Ecuación predictiva.</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Permite planificar</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 xml:space="preserve">Crea un escenario a futuro.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La erosión actual es aquella medida en el terreno</w:t>
      </w:r>
    </w:p>
    <w:p>
      <w:r>
        <w:rPr>
          <w:rFonts w:ascii="Liberation Serif" w:hAnsi="Liberation Serif" w:eastAsia="Segoe UI" w:cs="Tahoma"/>
          <w:color w:val="auto"/>
          <w:sz w:val="24"/>
          <w:lang w:val="en-US" w:eastAsia="en-US" w:bidi="en-US"/>
        </w:rPr>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Es decir que si yo digo con la USLE (o EUPS) que puedo tener ciertas pérdidas con un uso y manejo determinado debería corroborarlo después en el terreno midiendo.</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Sería una forma de corroborar o controlar si la EUPS responde.</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También debemos considerar que es una Ecuación experimental basada en datos de campo de parcelas de escurrimiento.</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Cuando en la Eups calculamos la potencial con RyK y un L S estándar de parcela estamos diciendo que es la máxima a futuro en condiciones de suelo desnudo y a favor de la pendiente.</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En síntesis la Ecuación estima una erosión a futuro ( potencial) máxima cuando C y P valen 1 y LS estándar y también bajo condiciones predeterminadas de C y P  por nosotros,  lo cual permite llegar a una T.</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 xml:space="preserve">La actual es la medida en el campo </w:t>
      </w:r>
    </w:p>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s-AR" w:eastAsia="es-AR" w:bidi="ar-SA"/>
        </w:rPr>
        <w:t>Se puede comparar con la estimada por la Eups</w:t>
      </w:r>
    </w:p>
  </w:comment>
  <w:comment w:id="1" w:author="Usuario" w:date="2020-03-26T12:30:00Z" w:initials="U">
    <w:p>
      <w:r>
        <w:rPr>
          <w:rFonts w:ascii="Liberation Serif" w:hAnsi="Liberation Serif" w:eastAsia="Segoe UI" w:cs="Tahoma"/>
          <w:b/>
          <w:bCs/>
          <w:color w:val="auto"/>
          <w:sz w:val="24"/>
          <w:lang w:eastAsia="en-US" w:bidi="en-US" w:val="es-AR"/>
        </w:rPr>
        <w:t>A los factores activo (lluvia), intermediario (vegetación) y pasivo (suelo), sumadas las condiciones topográficas, se debe oponer una tecnología conservacionista de uso y manejo del recurso.</w:t>
      </w:r>
    </w:p>
  </w:comment>
  <w:comment w:id="2" w:author="Usuario" w:date="2020-03-26T12:35:00Z" w:initials="U">
    <w:p>
      <w:r>
        <w:rPr>
          <w:rFonts w:ascii="Liberation Serif" w:hAnsi="Liberation Serif" w:eastAsia="Segoe UI" w:cs="Tahoma"/>
          <w:color w:val="auto"/>
          <w:sz w:val="24"/>
          <w:lang w:val="en-US" w:eastAsia="en-US" w:bidi="en-US"/>
        </w:rPr>
        <w:t>Estos valores surgen de la tabla 1, valores absolutos de r mensuales y la sumatoria anual</w:t>
      </w:r>
    </w:p>
  </w:comment>
  <w:comment w:id="3" w:author="Usuario" w:date="2020-03-26T12:39:00Z" w:initials="U">
    <w:p>
      <w:r>
        <w:rPr>
          <w:rFonts w:ascii="Liberation Serif" w:hAnsi="Liberation Serif" w:eastAsia="Segoe UI" w:cs="Tahoma"/>
          <w:color w:val="auto"/>
          <w:sz w:val="24"/>
          <w:lang w:val="en-US" w:eastAsia="en-US" w:bidi="en-US"/>
        </w:rPr>
        <w:t>El valor en %, ejemplo: 473 es 100% entonces para el mes de enero 64 es 13.5% se ajusta a nuemeros sin decimales</w:t>
      </w:r>
    </w:p>
  </w:comment>
  <w:comment w:id="4" w:author="Usuario" w:date="2020-03-26T12:42:00Z" w:initials="U">
    <w:p>
      <w:r>
        <w:rPr>
          <w:rFonts w:ascii="Liberation Serif" w:hAnsi="Liberation Serif" w:eastAsia="Segoe UI" w:cs="Tahoma"/>
          <w:color w:val="auto"/>
          <w:sz w:val="24"/>
          <w:lang w:val="en-US" w:eastAsia="en-US" w:bidi="en-US"/>
        </w:rPr>
        <w:t>Se van acumulando los porcentajes calculados en r2: Ejemplo en enero :r2 es14, queda igual.</w:t>
      </w:r>
    </w:p>
    <w:p>
      <w:r>
        <w:rPr>
          <w:rFonts w:ascii="Liberation Serif" w:hAnsi="Liberation Serif" w:eastAsia="Segoe UI" w:cs="Tahoma"/>
          <w:color w:val="auto"/>
          <w:sz w:val="24"/>
          <w:lang w:val="en-US" w:eastAsia="en-US" w:bidi="en-US"/>
        </w:rPr>
        <w:t>r3 En febrero 14 de enero mas 13 de febrero</w:t>
      </w:r>
    </w:p>
  </w:comment>
  <w:comment w:id="5" w:author="Usuario" w:date="2020-03-26T12:46:00Z" w:initials="U">
    <w:p>
      <w:r>
        <w:rPr>
          <w:rFonts w:ascii="Liberation Serif" w:hAnsi="Liberation Serif" w:eastAsia="Segoe UI" w:cs="Tahoma"/>
          <w:color w:val="auto"/>
          <w:sz w:val="24"/>
          <w:lang w:val="en-US" w:eastAsia="en-US" w:bidi="en-US"/>
        </w:rPr>
        <w:t>Este gráfico permite observar los periodos de máxima erosividad en cada localidad. La tendencia es que en los meses de primavera-verano son mayores.</w:t>
      </w:r>
    </w:p>
    <w:p>
      <w:r>
        <w:rPr>
          <w:rFonts w:ascii="Liberation Serif" w:hAnsi="Liberation Serif" w:eastAsia="Segoe UI" w:cs="Tahoma"/>
          <w:color w:val="auto"/>
          <w:sz w:val="24"/>
          <w:lang w:val="en-US" w:eastAsia="en-US" w:bidi="en-US"/>
        </w:rPr>
        <w:t>En esos meses es necesario que el suelo tenga cobertura vegetal para prevenir eosión.</w:t>
      </w:r>
    </w:p>
  </w:comment>
  <w:comment w:id="6" w:author="Usuario" w:date="2020-03-26T12:48:00Z" w:initials="U">
    <w:p>
      <w:r>
        <w:rPr>
          <w:rFonts w:ascii="Liberation Serif" w:hAnsi="Liberation Serif" w:eastAsia="Segoe UI" w:cs="Tahoma"/>
          <w:color w:val="auto"/>
          <w:sz w:val="24"/>
          <w:lang w:val="en-US" w:eastAsia="en-US" w:bidi="en-US"/>
        </w:rPr>
        <w:t xml:space="preserve">Similar al anterior, </w:t>
      </w:r>
    </w:p>
  </w:comment>
  <w:comment w:id="7" w:author="Usuario" w:date="2020-03-26T12:56:00Z" w:initials="U">
    <w:p>
      <w:r>
        <w:rPr>
          <w:rFonts w:ascii="Liberation Serif" w:hAnsi="Liberation Serif" w:eastAsia="Segoe UI" w:cs="Tahoma"/>
          <w:color w:val="auto"/>
          <w:sz w:val="24"/>
          <w:lang w:val="en-US" w:eastAsia="en-US" w:bidi="en-US"/>
        </w:rPr>
        <w:t>Mayor erosividad la curva tiene mayor pendiente</w:t>
      </w:r>
    </w:p>
  </w:comment>
  <w:comment w:id="8" w:author="Usuario" w:date="2020-03-26T12:50:00Z" w:initials="U">
    <w:p>
      <w:r>
        <w:rPr>
          <w:rFonts w:ascii="Liberation Serif" w:hAnsi="Liberation Serif" w:eastAsia="Segoe UI" w:cs="Tahoma"/>
          <w:color w:val="auto"/>
          <w:sz w:val="24"/>
          <w:lang w:val="en-US" w:eastAsia="en-US" w:bidi="en-US"/>
        </w:rPr>
        <w:t>Esta variación es importante, apreciarla en el mapa</w:t>
      </w:r>
    </w:p>
  </w:comment>
  <w:comment w:id="9" w:author="Usuario" w:date="2020-03-26T12:59:00Z" w:initials="U">
    <w:p>
      <w:r>
        <w:rPr>
          <w:rFonts w:ascii="Liberation Serif" w:hAnsi="Liberation Serif" w:eastAsia="Segoe UI" w:cs="Tahoma"/>
          <w:color w:val="auto"/>
          <w:sz w:val="24"/>
          <w:lang w:val="en-US" w:eastAsia="en-US" w:bidi="en-US"/>
        </w:rPr>
        <w:t>Conocer en cuales periodos se producen los mayores valores de erosividad de las lluvias para modificar las fechas de siembra con el objetivo de tener cobertura en los periodos de mayor erosividad.</w:t>
      </w:r>
    </w:p>
  </w:comment>
  <w:comment w:id="10" w:author="Usuario" w:date="2020-03-26T13:08:00Z" w:initials="U">
    <w:p>
      <w:r>
        <w:rPr>
          <w:rFonts w:ascii="Liberation Serif" w:hAnsi="Liberation Serif" w:eastAsia="Segoe UI" w:cs="Tahoma"/>
          <w:color w:val="auto"/>
          <w:sz w:val="24"/>
          <w:lang w:val="en-US" w:eastAsia="en-US" w:bidi="en-US"/>
        </w:rPr>
        <w:t>Aplicar la formula al horizonte superficial</w:t>
      </w:r>
    </w:p>
  </w:comment>
  <w:comment w:id="11" w:author="Usuario" w:date="2020-03-26T13:08:00Z" w:initials="U">
    <w:p>
      <w:r>
        <w:rPr>
          <w:rFonts w:ascii="Liberation Serif" w:hAnsi="Liberation Serif" w:eastAsia="Segoe UI" w:cs="Tahoma"/>
          <w:color w:val="auto"/>
          <w:sz w:val="24"/>
          <w:lang w:val="en-US" w:eastAsia="en-US" w:bidi="en-US"/>
        </w:rPr>
        <w:t>En los datos analíticos de los perfiles, suele haber dos valores de limo:</w:t>
      </w:r>
    </w:p>
    <w:p>
      <w:r>
        <w:rPr>
          <w:rFonts w:ascii="Liberation Serif" w:hAnsi="Liberation Serif" w:eastAsia="Segoe UI" w:cs="Tahoma"/>
          <w:color w:val="auto"/>
          <w:sz w:val="24"/>
          <w:lang w:val="en-US" w:eastAsia="en-US" w:bidi="en-US"/>
        </w:rPr>
        <w:t xml:space="preserve">Limo de 2-20 micrones </w:t>
      </w:r>
    </w:p>
    <w:p>
      <w:r>
        <w:rPr>
          <w:rFonts w:ascii="Liberation Serif" w:hAnsi="Liberation Serif" w:eastAsia="Segoe UI" w:cs="Tahoma"/>
          <w:color w:val="auto"/>
          <w:sz w:val="24"/>
          <w:lang w:val="en-US" w:eastAsia="en-US" w:bidi="en-US"/>
        </w:rPr>
        <w:t>Limo de 2-50 micrones (Este CONTIENE al anterior)</w:t>
      </w:r>
    </w:p>
    <w:p>
      <w:r>
        <w:rPr>
          <w:rFonts w:ascii="Liberation Serif" w:hAnsi="Liberation Serif" w:eastAsia="Segoe UI" w:cs="Tahoma"/>
          <w:color w:val="auto"/>
          <w:sz w:val="24"/>
          <w:lang w:val="en-US" w:eastAsia="en-US" w:bidi="en-US"/>
        </w:rPr>
        <w:t xml:space="preserve">Por ejemplo en el perfil 1 Arroyo Dulce, estos valores son de 27.1 y 63,9 </w:t>
      </w:r>
    </w:p>
    <w:p>
      <w:r>
        <w:rPr>
          <w:rFonts w:ascii="Liberation Serif" w:hAnsi="Liberation Serif" w:eastAsia="Segoe UI" w:cs="Tahoma"/>
          <w:color w:val="auto"/>
          <w:sz w:val="24"/>
          <w:lang w:val="en-US" w:eastAsia="en-US" w:bidi="en-US"/>
        </w:rPr>
        <w:t>Y AMF  de 50 a 100 micrones es de 10,9</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63.9 +10.9= 74.8</w:t>
      </w:r>
    </w:p>
  </w:comment>
  <w:comment w:id="12" w:author="Usuario" w:date="2020-03-26T13:10:00Z" w:initials="U">
    <w:p>
      <w:r>
        <w:rPr>
          <w:rFonts w:ascii="Liberation Serif" w:hAnsi="Liberation Serif" w:eastAsia="Segoe UI" w:cs="Tahoma"/>
          <w:color w:val="auto"/>
          <w:sz w:val="24"/>
          <w:lang w:val="en-US" w:eastAsia="en-US" w:bidi="en-US"/>
        </w:rPr>
        <w:t>En función de la descripción se usan los valores de las tablas</w:t>
      </w:r>
    </w:p>
  </w:comment>
  <w:comment w:id="13" w:author="Usuario" w:date="2020-03-26T13:11:00Z" w:initials="U">
    <w:p>
      <w:r>
        <w:rPr>
          <w:rFonts w:ascii="Liberation Serif" w:hAnsi="Liberation Serif" w:eastAsia="Segoe UI" w:cs="Tahoma"/>
          <w:color w:val="auto"/>
          <w:sz w:val="24"/>
          <w:lang w:val="en-US" w:eastAsia="en-US" w:bidi="en-US"/>
        </w:rPr>
        <w:t>Ojo que la formula es 100 K!!!!!!</w:t>
      </w:r>
    </w:p>
  </w:comment>
  <w:comment w:id="14" w:author="Usuario" w:date="2020-03-26T14:29:00Z" w:initials="U">
    <w:p>
      <w:r>
        <w:rPr>
          <w:rFonts w:ascii="Liberation Serif" w:hAnsi="Liberation Serif" w:eastAsia="Segoe UI" w:cs="Tahoma"/>
          <w:color w:val="auto"/>
          <w:sz w:val="24"/>
          <w:lang w:val="en-US" w:eastAsia="en-US" w:bidi="en-US"/>
        </w:rPr>
        <w:t>Para estos valores se debe interpolar entre los valores que figuran en la tabla.</w:t>
      </w:r>
    </w:p>
    <w:p>
      <w:r>
        <w:rPr>
          <w:rFonts w:ascii="Liberation Serif" w:hAnsi="Liberation Serif" w:eastAsia="Segoe UI" w:cs="Tahoma"/>
          <w:color w:val="auto"/>
          <w:sz w:val="24"/>
          <w:lang w:val="en-US" w:eastAsia="en-US" w:bidi="en-US"/>
        </w:rPr>
        <w:t>En este caso tanto en longitud (entre 200 y 250 m) como en gradiente (entre 1 y 2%)</w:t>
      </w:r>
    </w:p>
  </w:comment>
  <w:comment w:id="15" w:author="Usuario" w:date="2020-03-26T15:09:00Z" w:initials="U">
    <w:p>
      <w:r>
        <w:rPr>
          <w:rFonts w:ascii="Liberation Serif" w:hAnsi="Liberation Serif" w:eastAsia="Segoe UI" w:cs="Tahoma"/>
          <w:color w:val="auto"/>
          <w:sz w:val="24"/>
          <w:lang w:val="en-US" w:eastAsia="en-US" w:bidi="en-US"/>
        </w:rPr>
        <w:t>La erosión potencial la calculamos como A=RxK</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Suponiendo que estamos en la localidad Pergamino y el el suelo Arroyo Dulce (perfil 1)</w:t>
      </w:r>
    </w:p>
    <w:p>
      <w:r>
        <w:rPr>
          <w:rFonts w:ascii="Liberation Serif" w:hAnsi="Liberation Serif" w:eastAsia="Segoe UI" w:cs="Tahoma"/>
          <w:color w:val="auto"/>
          <w:sz w:val="24"/>
          <w:lang w:val="en-US" w:eastAsia="en-US" w:bidi="en-US"/>
        </w:rPr>
        <w:t xml:space="preserve">A= 473 x 0,399= 188,7  </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En este punto vemos como influye en esa pérdida el factor topográfico LS</w:t>
      </w:r>
    </w:p>
  </w:comment>
  <w:comment w:id="16" w:author="Usuario" w:date="2020-03-26T15:11:00Z" w:initials="U">
    <w:p>
      <w:r>
        <w:rPr>
          <w:rFonts w:ascii="Liberation Serif" w:hAnsi="Liberation Serif" w:eastAsia="Segoe UI" w:cs="Tahoma"/>
          <w:color w:val="auto"/>
          <w:sz w:val="24"/>
          <w:lang w:val="en-US" w:eastAsia="en-US" w:bidi="en-US"/>
        </w:rPr>
        <w:t>Usando la Tabla 2 ingresamos con los valores de Long y Grado para obtener el factor LS</w:t>
      </w:r>
    </w:p>
  </w:comment>
  <w:comment w:id="17" w:author="Usuario" w:date="2020-03-26T15:14:00Z" w:initials="U">
    <w:p>
      <w:r>
        <w:rPr>
          <w:rFonts w:ascii="Liberation Serif" w:hAnsi="Liberation Serif" w:eastAsia="Segoe UI" w:cs="Tahoma"/>
          <w:color w:val="auto"/>
          <w:sz w:val="24"/>
          <w:lang w:val="en-US" w:eastAsia="en-US" w:bidi="en-US"/>
        </w:rPr>
        <w:t>A=RxKxLS</w:t>
      </w:r>
    </w:p>
    <w:p>
      <w:r>
        <w:rPr>
          <w:rFonts w:ascii="Liberation Serif" w:hAnsi="Liberation Serif" w:eastAsia="Segoe UI" w:cs="Tahoma"/>
          <w:color w:val="auto"/>
          <w:sz w:val="24"/>
          <w:lang w:val="en-US" w:eastAsia="en-US" w:bidi="en-US"/>
        </w:rPr>
        <w:t>A= 188,7x 0.18= 33.96</w:t>
      </w:r>
    </w:p>
  </w:comment>
  <w:comment w:id="18" w:author="Usuario" w:date="2020-03-26T15:51:00Z" w:initials="U">
    <w:p>
      <w:r>
        <w:rPr>
          <w:rFonts w:ascii="Liberation Serif" w:hAnsi="Liberation Serif" w:eastAsia="Segoe UI" w:cs="Tahoma"/>
          <w:color w:val="auto"/>
          <w:sz w:val="24"/>
          <w:lang w:val="en-US" w:eastAsia="en-US" w:bidi="en-US"/>
        </w:rPr>
        <w:t>Se grafica el factor LS, a mayor valor mayor es la perdida por erosión</w:t>
      </w:r>
    </w:p>
  </w:comment>
  <w:comment w:id="19" w:author="Usuario" w:date="2020-03-26T16:03:00Z" w:initials="U">
    <w:p>
      <w:r>
        <w:rPr>
          <w:rFonts w:ascii="Liberation Serif" w:hAnsi="Liberation Serif" w:eastAsia="Segoe UI" w:cs="Tahoma"/>
          <w:color w:val="auto"/>
          <w:sz w:val="24"/>
          <w:lang w:val="en-US" w:eastAsia="en-US" w:bidi="en-US"/>
        </w:rPr>
        <w:t>ES la situación 2 del punto anterior:</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El Grado es constante, 5%</w:t>
      </w:r>
    </w:p>
    <w:p>
      <w:r>
        <w:rPr>
          <w:rFonts w:ascii="Liberation Serif" w:hAnsi="Liberation Serif" w:eastAsia="Segoe UI" w:cs="Tahoma"/>
          <w:color w:val="auto"/>
          <w:sz w:val="24"/>
          <w:lang w:val="en-US" w:eastAsia="en-US" w:bidi="en-US"/>
        </w:rPr>
        <w:t xml:space="preserve"> La longitud se incrementa en 25 m, pasa de 25 a 50 y de 275 a 300.</w:t>
      </w:r>
    </w:p>
    <w:p>
      <w:r>
        <w:rPr>
          <w:rFonts w:ascii="Liberation Serif" w:hAnsi="Liberation Serif" w:eastAsia="Segoe UI" w:cs="Tahoma"/>
          <w:color w:val="auto"/>
          <w:sz w:val="24"/>
          <w:lang w:val="en-US" w:eastAsia="en-US" w:bidi="en-US"/>
        </w:rPr>
        <w:t>PERO: la perdida se incrementa  en 37,7 t en el primer caso y 15 t cuando las pendientes son mas largas.</w:t>
      </w:r>
    </w:p>
    <w:p>
      <w:r>
        <w:rPr>
          <w:rFonts w:ascii="Liberation Serif" w:hAnsi="Liberation Serif" w:eastAsia="Segoe UI" w:cs="Tahoma"/>
          <w:color w:val="auto"/>
          <w:sz w:val="24"/>
          <w:lang w:val="en-US" w:eastAsia="en-US" w:bidi="en-US"/>
        </w:rPr>
        <w:t>Es decir que los Incrementos son decrecientes.</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La Longitud afceta el Volumen de escurrimiento</w:t>
      </w:r>
    </w:p>
  </w:comment>
  <w:comment w:id="20" w:author="Usuario" w:date="2020-03-26T16:02:00Z" w:initials="U">
    <w:p>
      <w:r>
        <w:rPr>
          <w:rFonts w:ascii="Liberation Serif" w:hAnsi="Liberation Serif" w:eastAsia="Segoe UI" w:cs="Tahoma"/>
          <w:color w:val="auto"/>
          <w:sz w:val="24"/>
          <w:lang w:val="en-US" w:eastAsia="en-US" w:bidi="en-US"/>
        </w:rPr>
        <w:t>En este caso se incrementa 1 grado, pasa de 1 a 2 y luego de 5 a 6.</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Los Incrementos en las perdidad son Crecientes.</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El Gradiente afceta la velocidad de escurrimiento</w:t>
      </w:r>
    </w:p>
  </w:comment>
  <w:comment w:id="21" w:author="Usuario" w:date="2020-03-26T16:13:00Z" w:initials="U">
    <w:p>
      <w:r>
        <w:rPr>
          <w:rFonts w:ascii="Liberation Serif" w:hAnsi="Liberation Serif" w:eastAsia="Segoe UI" w:cs="Tahoma"/>
          <w:color w:val="auto"/>
          <w:sz w:val="24"/>
          <w:lang w:val="en-US" w:eastAsia="en-US" w:bidi="en-US"/>
        </w:rPr>
        <w:t>Estos son los datos para entrar en la tabla 3.Fracción de perdidas</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DOS tramos y la pendiente PROMEDIO es de 5% (3 +7) / 2 = 5</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r>
    </w:p>
  </w:comment>
  <w:comment w:id="22" w:author="Usuario" w:date="2020-03-26T16:17:00Z" w:initials="U">
    <w:p>
      <w:r>
        <w:rPr>
          <w:rFonts w:ascii="Liberation Serif" w:hAnsi="Liberation Serif" w:eastAsia="Segoe UI" w:cs="Tahoma"/>
          <w:color w:val="auto"/>
          <w:sz w:val="24"/>
          <w:lang w:val="en-US" w:eastAsia="en-US" w:bidi="en-US"/>
        </w:rPr>
        <w:t>Usar la tabla 2</w:t>
      </w:r>
    </w:p>
    <w:p>
      <w:r>
        <w:rPr>
          <w:rFonts w:ascii="Liberation Serif" w:hAnsi="Liberation Serif" w:eastAsia="Segoe UI" w:cs="Tahoma"/>
          <w:color w:val="auto"/>
          <w:sz w:val="24"/>
          <w:lang w:val="en-US" w:eastAsia="en-US" w:bidi="en-US"/>
        </w:rPr>
        <w:t>Usando la pendiente del segmento Y LA LONGITUD TOTAL</w:t>
      </w:r>
    </w:p>
    <w:p>
      <w:r>
        <w:rPr>
          <w:rFonts w:ascii="Liberation Serif" w:hAnsi="Liberation Serif" w:eastAsia="Segoe UI" w:cs="Tahoma"/>
          <w:color w:val="auto"/>
          <w:sz w:val="24"/>
          <w:lang w:val="en-US" w:eastAsia="en-US" w:bidi="en-US"/>
        </w:rPr>
        <w:t>Segmento 1: 3% y 200 m= 0.5</w:t>
      </w:r>
    </w:p>
    <w:p>
      <w:r>
        <w:rPr>
          <w:rFonts w:ascii="Liberation Serif" w:hAnsi="Liberation Serif" w:eastAsia="Segoe UI" w:cs="Tahoma"/>
          <w:color w:val="auto"/>
          <w:sz w:val="24"/>
          <w:lang w:val="en-US" w:eastAsia="en-US" w:bidi="en-US"/>
        </w:rPr>
        <w:t>Segmento 2: 7% y 200 m= Interpolar entre 1.71 y 2.53= 2.12</w:t>
      </w:r>
    </w:p>
  </w:comment>
  <w:comment w:id="23" w:author="Usuario" w:date="2020-03-26T16:18:00Z" w:initials="U">
    <w:p>
      <w:r>
        <w:rPr>
          <w:rFonts w:ascii="Liberation Serif" w:hAnsi="Liberation Serif" w:eastAsia="Segoe UI" w:cs="Tahoma"/>
          <w:color w:val="auto"/>
          <w:sz w:val="24"/>
          <w:lang w:val="en-US" w:eastAsia="en-US" w:bidi="en-US"/>
        </w:rPr>
        <w:t>Sale de la tabla 3</w:t>
      </w:r>
    </w:p>
    <w:p>
      <w:r>
        <w:rPr>
          <w:rFonts w:ascii="Liberation Serif" w:hAnsi="Liberation Serif" w:eastAsia="Segoe UI" w:cs="Tahoma"/>
          <w:color w:val="auto"/>
          <w:sz w:val="24"/>
          <w:lang w:val="en-US" w:eastAsia="en-US" w:bidi="en-US"/>
        </w:rPr>
        <w:t>Y en el mismo orden: Segmento 1= 0.38</w:t>
      </w:r>
    </w:p>
    <w:p>
      <w:r>
        <w:rPr>
          <w:rFonts w:ascii="Liberation Serif" w:hAnsi="Liberation Serif" w:eastAsia="Segoe UI" w:cs="Tahoma"/>
          <w:color w:val="auto"/>
          <w:sz w:val="24"/>
          <w:lang w:val="en-US" w:eastAsia="en-US" w:bidi="en-US"/>
        </w:rPr>
        <w:t>Segmento 2= 0.62</w:t>
      </w:r>
    </w:p>
  </w:comment>
  <w:comment w:id="24" w:author="Usuario" w:date="2020-03-26T16:20:00Z" w:initials="U">
    <w:p>
      <w:r>
        <w:rPr>
          <w:rFonts w:ascii="Liberation Serif" w:hAnsi="Liberation Serif" w:eastAsia="Segoe UI" w:cs="Tahoma"/>
          <w:color w:val="auto"/>
          <w:sz w:val="24"/>
          <w:lang w:val="en-US" w:eastAsia="en-US" w:bidi="en-US"/>
        </w:rPr>
        <w:t>LS corregido= LS x Fraccion de perdida</w:t>
      </w:r>
    </w:p>
  </w:comment>
  <w:comment w:id="25" w:author="Usuario" w:date="2020-03-26T16:21:00Z" w:initials="U">
    <w:p>
      <w:r>
        <w:rPr>
          <w:rFonts w:ascii="Liberation Serif" w:hAnsi="Liberation Serif" w:eastAsia="Segoe UI" w:cs="Tahoma"/>
          <w:color w:val="auto"/>
          <w:sz w:val="24"/>
          <w:lang w:val="en-US" w:eastAsia="en-US" w:bidi="en-US"/>
        </w:rPr>
        <w:t>Sumar los LS corregidos de los dos segmentos</w:t>
      </w:r>
    </w:p>
  </w:comment>
  <w:comment w:id="26" w:author="Usuario" w:date="2020-03-26T16:21:00Z" w:initials="U">
    <w:p>
      <w:r>
        <w:rPr>
          <w:rFonts w:ascii="Liberation Serif" w:hAnsi="Liberation Serif" w:eastAsia="Segoe UI" w:cs="Tahoma"/>
          <w:color w:val="auto"/>
          <w:sz w:val="24"/>
          <w:lang w:val="en-US" w:eastAsia="en-US" w:bidi="en-US"/>
        </w:rPr>
        <w:t>Idem anterior</w:t>
      </w:r>
    </w:p>
  </w:comment>
  <w:comment w:id="27" w:author="Usuario" w:date="2020-03-26T16:22:00Z" w:initials="U">
    <w:p>
      <w:r>
        <w:rPr>
          <w:rFonts w:ascii="Liberation Serif" w:hAnsi="Liberation Serif" w:eastAsia="Segoe UI" w:cs="Tahoma"/>
          <w:color w:val="auto"/>
          <w:sz w:val="24"/>
          <w:lang w:val="en-US" w:eastAsia="en-US" w:bidi="en-US"/>
        </w:rPr>
        <w:t>OJOOOOO</w:t>
      </w:r>
    </w:p>
    <w:p>
      <w:r>
        <w:rPr>
          <w:rFonts w:ascii="Liberation Serif" w:hAnsi="Liberation Serif" w:eastAsia="Segoe UI" w:cs="Tahoma"/>
          <w:color w:val="auto"/>
          <w:sz w:val="24"/>
          <w:lang w:val="en-US" w:eastAsia="en-US" w:bidi="en-US"/>
        </w:rPr>
        <w:t>Se mantienen los valores de fracción de perdida para el primer y segundo segmento</w:t>
      </w:r>
    </w:p>
  </w:comment>
  <w:comment w:id="28" w:author="Usuario" w:date="2020-03-26T16:27:00Z" w:initials="U">
    <w:p>
      <w:r>
        <w:rPr>
          <w:rFonts w:ascii="Liberation Serif" w:hAnsi="Liberation Serif" w:eastAsia="Segoe UI" w:cs="Tahoma"/>
          <w:color w:val="auto"/>
          <w:sz w:val="24"/>
          <w:lang w:val="en-US" w:eastAsia="en-US" w:bidi="en-US"/>
        </w:rPr>
        <w:t>Se asume una pendiente de 200 m y 5 % de grado</w:t>
      </w:r>
    </w:p>
  </w:comment>
  <w:comment w:id="29" w:author="Usuario" w:date="2020-03-26T17:02:00Z" w:initials="U">
    <w:p>
      <w:r>
        <w:rPr>
          <w:rFonts w:ascii="Liberation Serif" w:hAnsi="Liberation Serif" w:eastAsia="Segoe UI" w:cs="Tahoma"/>
          <w:color w:val="auto"/>
          <w:sz w:val="24"/>
          <w:lang w:val="en-US" w:eastAsia="en-US" w:bidi="en-US"/>
        </w:rPr>
        <w:t>Situación A</w:t>
      </w:r>
    </w:p>
  </w:comment>
  <w:comment w:id="30" w:author="Usuario" w:date="2020-03-26T17:01:00Z" w:initials="U">
    <w:p>
      <w:r>
        <w:rPr>
          <w:rFonts w:ascii="Liberation Serif" w:hAnsi="Liberation Serif" w:eastAsia="Segoe UI" w:cs="Tahoma"/>
          <w:color w:val="auto"/>
          <w:sz w:val="24"/>
          <w:lang w:val="en-US" w:eastAsia="en-US" w:bidi="en-US"/>
        </w:rPr>
        <w:t>Esta situación es irreal, solo para comparar, dos razones: No hay bosque nativo en Pergamino y el laboreo tampoco se produce en un BN</w:t>
      </w:r>
    </w:p>
  </w:comment>
  <w:comment w:id="31" w:author="Usuario" w:date="2020-03-26T17:01:00Z" w:initials="U">
    <w:p>
      <w:r>
        <w:rPr>
          <w:rFonts w:ascii="Liberation Serif" w:hAnsi="Liberation Serif" w:eastAsia="Segoe UI" w:cs="Tahoma"/>
          <w:color w:val="auto"/>
          <w:sz w:val="24"/>
          <w:lang w:val="en-US" w:eastAsia="en-US" w:bidi="en-US"/>
        </w:rPr>
        <w:t>Esto es el siguiente factor P, practicas de manejo, se considera 1</w:t>
      </w:r>
    </w:p>
  </w:comment>
  <w:comment w:id="32" w:author="Usuario" w:date="2020-03-26T17:21:00Z" w:initials="U">
    <w:p>
      <w:r>
        <w:rPr>
          <w:rFonts w:ascii="Liberation Serif" w:hAnsi="Liberation Serif" w:eastAsia="Segoe UI" w:cs="Tahoma"/>
          <w:color w:val="auto"/>
          <w:sz w:val="24"/>
          <w:lang w:val="en-US" w:eastAsia="en-US" w:bidi="en-US"/>
        </w:rPr>
        <w:t>No se realizan plantaciones forestales en terrazas.</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t>Si CULTIVOS EN CONTORNO</w:t>
      </w:r>
    </w:p>
  </w:comment>
  <w:comment w:id="33" w:author="Usuario" w:date="2020-03-26T17:30:00Z" w:initials="U">
    <w:p>
      <w:r>
        <w:rPr>
          <w:rFonts w:ascii="Liberation Serif" w:hAnsi="Liberation Serif" w:eastAsia="Segoe UI" w:cs="Tahoma"/>
          <w:color w:val="auto"/>
          <w:sz w:val="28"/>
          <w:szCs w:val="24"/>
          <w:lang w:val="en-US" w:eastAsia="en-US" w:bidi="en-US"/>
        </w:rPr>
        <w:t xml:space="preserve"> El sustrato subsuperficia se compara con el superficial.</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8"/>
          <w:szCs w:val="24"/>
          <w:lang w:val="en-US" w:eastAsia="en-US" w:bidi="en-US"/>
        </w:rPr>
        <w:t>Que sea Favorable quiere decir que tiene similares características para continuar produciendo en caso que se  erosione completamente el superficial.</w:t>
      </w:r>
    </w:p>
    <w:p>
      <w:r>
        <w:rPr>
          <w:rFonts w:ascii="Liberation Serif" w:hAnsi="Liberation Serif" w:eastAsia="Segoe UI" w:cs="Tahoma"/>
          <w:color w:val="auto"/>
          <w:sz w:val="28"/>
          <w:szCs w:val="24"/>
          <w:lang w:val="en-US" w:eastAsia="en-US" w:bidi="en-US"/>
        </w:rPr>
        <w:t>Por ejemplo una secuencia A-AC son mas o menos similares, por lo tanto es favorable</w:t>
      </w:r>
    </w:p>
    <w:p>
      <w:r>
        <w:rPr>
          <w:rFonts w:ascii="Liberation Serif" w:hAnsi="Liberation Serif" w:eastAsia="Segoe UI" w:cs="Tahoma"/>
          <w:color w:val="auto"/>
          <w:sz w:val="24"/>
          <w:lang w:val="en-US" w:eastAsia="en-US" w:bidi="en-US"/>
        </w:rPr>
        <w:t xml:space="preserve">En cambio, en  un  A-Bt no podría seguir produciendo mas o menos igual, son completamente diferentes, entonces es Desfavorable. </w:t>
      </w:r>
    </w:p>
    <w:p>
      <w:r>
        <w:rPr>
          <w:rFonts w:ascii="Liberation Serif" w:hAnsi="Liberation Serif" w:eastAsia="Segoe UI" w:cs="Tahoma"/>
          <w:color w:val="auto"/>
          <w:sz w:val="24"/>
          <w:lang w:val="en-US" w:eastAsia="en-US" w:bidi="en-US"/>
        </w:rPr>
      </w:r>
    </w:p>
  </w:comment>
  <w:comment w:id="34" w:author="Usuario" w:date="2020-03-26T17:33:00Z" w:initials="U">
    <w:p>
      <w:r>
        <w:rPr>
          <w:rFonts w:ascii="Liberation Serif" w:hAnsi="Liberation Serif" w:eastAsia="Segoe UI" w:cs="Tahoma"/>
          <w:color w:val="auto"/>
          <w:sz w:val="24"/>
          <w:lang w:val="en-US" w:eastAsia="en-US" w:bidi="en-US"/>
        </w:rPr>
        <w:t>La mayor pérdida de suelos es de 11 t/ha/ año y solo aceptable en suelos profundos.</w:t>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r>
    </w:p>
    <w:p>
      <w:r>
        <w:rPr>
          <w:rFonts w:ascii="Liberation Serif" w:hAnsi="Liberation Serif" w:eastAsia="Segoe UI" w:cs="Tahoma"/>
          <w:color w:val="auto"/>
          <w:sz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Cambria Math">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MyCS IF 2018</w:t>
      <w:tab/>
      <w:tab/>
      <w:tab/>
      <w:tab/>
      <w:tab/>
      <w:tab/>
      <w:tab/>
      <w:tab/>
      <w:tab/>
      <w:tab/>
      <w:tab/>
      <w:tab/>
      <w:tab/>
      <w:tab/>
      <w:tab/>
      <w:tab/>
      <w:tab/>
      <w:tab/>
      <w:tab/>
      <w:tab/>
      <w:tab/>
      <w:tab/>
    </w: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lear" w:pos="4419"/>
        <w:tab w:val="clear" w:pos="8838"/>
      </w:tabs>
      <w:rPr/>
    </w:pPr>
    <w:r>
      <w:rPr/>
      <w:t>TP UDB B3: Erosión Hídrica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3"/>
      <w:numFmt w:val="decimal"/>
      <w:lvlText w:val="%1."/>
      <w:lvlJc w:val="left"/>
      <w:pPr>
        <w:tabs>
          <w:tab w:val="num" w:pos="3054"/>
        </w:tabs>
        <w:ind w:left="3054" w:hanging="360"/>
      </w:pPr>
      <w:rPr>
        <w:b/>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vertAlign w:val="baseline"/>
        <w:position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720" w:hanging="360"/>
      </w:pPr>
      <w:rPr>
        <w:smallCaps w:val="false"/>
        <w:caps w:val="false"/>
        <w:dstrike w:val="false"/>
        <w:strike w:val="false"/>
        <w:vertAlign w:val="baseline"/>
        <w:position w:val="0"/>
        <w:sz w:val="24"/>
        <w:sz w:val="24"/>
        <w:spacing w:val="0"/>
        <w:i w:val="false"/>
        <w:u w:val="none"/>
        <w:b w:val="false"/>
        <w:kern w:val="0"/>
        <w:szCs w:val="24"/>
        <w:iCs w:val="false"/>
        <w:bCs w:val="false"/>
        <w:w w:val="100"/>
        <w:vanish w:val="false"/>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0" w:hanging="0"/>
      </w:pPr>
      <w:rPr>
        <w:rFonts w:ascii="Calibri" w:hAnsi="Calibri" w:cs="Calibri" w:hint="default"/>
      </w:rPr>
    </w:lvl>
    <w:lvl w:ilvl="1">
      <w:start w:val="1"/>
      <w:numFmt w:val="bullet"/>
      <w:lvlText w:val="o"/>
      <w:lvlJc w:val="left"/>
      <w:pPr>
        <w:ind w:left="357" w:hanging="0"/>
      </w:pPr>
      <w:rPr>
        <w:rFonts w:ascii="Courier New" w:hAnsi="Courier New" w:cs="Courier New" w:hint="default"/>
      </w:rPr>
    </w:lvl>
    <w:lvl w:ilvl="2">
      <w:start w:val="1"/>
      <w:numFmt w:val="bullet"/>
      <w:lvlText w:val=""/>
      <w:lvlJc w:val="left"/>
      <w:pPr>
        <w:ind w:left="714" w:hanging="0"/>
      </w:pPr>
      <w:rPr>
        <w:rFonts w:ascii="Wingdings" w:hAnsi="Wingdings" w:cs="Wingdings" w:hint="default"/>
      </w:rPr>
    </w:lvl>
    <w:lvl w:ilvl="3">
      <w:start w:val="1"/>
      <w:numFmt w:val="bullet"/>
      <w:lvlText w:val=""/>
      <w:lvlJc w:val="left"/>
      <w:pPr>
        <w:ind w:left="1071" w:hanging="0"/>
      </w:pPr>
      <w:rPr>
        <w:rFonts w:ascii="Symbol" w:hAnsi="Symbol" w:cs="Symbol" w:hint="default"/>
      </w:rPr>
    </w:lvl>
    <w:lvl w:ilvl="4">
      <w:start w:val="1"/>
      <w:numFmt w:val="bullet"/>
      <w:lvlText w:val="o"/>
      <w:lvlJc w:val="left"/>
      <w:pPr>
        <w:ind w:left="1428" w:hanging="0"/>
      </w:pPr>
      <w:rPr>
        <w:rFonts w:ascii="Courier New" w:hAnsi="Courier New" w:cs="Courier New" w:hint="default"/>
      </w:rPr>
    </w:lvl>
    <w:lvl w:ilvl="5">
      <w:start w:val="1"/>
      <w:numFmt w:val="bullet"/>
      <w:lvlText w:val=""/>
      <w:lvlJc w:val="left"/>
      <w:pPr>
        <w:ind w:left="1785" w:hanging="0"/>
      </w:pPr>
      <w:rPr>
        <w:rFonts w:ascii="Wingdings" w:hAnsi="Wingdings" w:cs="Wingdings" w:hint="default"/>
      </w:rPr>
    </w:lvl>
    <w:lvl w:ilvl="6">
      <w:start w:val="1"/>
      <w:numFmt w:val="bullet"/>
      <w:lvlText w:val=""/>
      <w:lvlJc w:val="left"/>
      <w:pPr>
        <w:ind w:left="2142" w:hanging="0"/>
      </w:pPr>
      <w:rPr>
        <w:rFonts w:ascii="Symbol" w:hAnsi="Symbol" w:cs="Symbol" w:hint="default"/>
      </w:rPr>
    </w:lvl>
    <w:lvl w:ilvl="7">
      <w:start w:val="1"/>
      <w:numFmt w:val="bullet"/>
      <w:lvlText w:val="o"/>
      <w:lvlJc w:val="left"/>
      <w:pPr>
        <w:ind w:left="2499" w:hanging="0"/>
      </w:pPr>
      <w:rPr>
        <w:rFonts w:ascii="Courier New" w:hAnsi="Courier New" w:cs="Courier New" w:hint="default"/>
      </w:rPr>
    </w:lvl>
    <w:lvl w:ilvl="8">
      <w:start w:val="1"/>
      <w:numFmt w:val="bullet"/>
      <w:lvlText w:val=""/>
      <w:lvlJc w:val="left"/>
      <w:pPr>
        <w:ind w:left="2856" w:hanging="0"/>
      </w:pPr>
      <w:rPr>
        <w:rFonts w:ascii="Wingdings" w:hAnsi="Wingdings" w:cs="Wingdings" w:hint="default"/>
      </w:rPr>
    </w:lvl>
  </w:abstractNum>
  <w:abstractNum w:abstractNumId="5">
    <w:lvl w:ilvl="0">
      <w:start w:val="1"/>
      <w:numFmt w:val="decimal"/>
      <w:lvlText w:val="%1."/>
      <w:lvlJc w:val="left"/>
      <w:pPr>
        <w:tabs>
          <w:tab w:val="num" w:pos="3054"/>
        </w:tabs>
        <w:ind w:left="3054" w:hanging="360"/>
      </w:pPr>
      <w:rPr>
        <w:b/>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bullet"/>
      <w:lvlText w:val=""/>
      <w:lvlJc w:val="left"/>
      <w:pPr>
        <w:ind w:left="360" w:hanging="360"/>
      </w:pPr>
      <w:rPr>
        <w:rFonts w:ascii="Symbol" w:hAnsi="Symbol" w:cs="Symbol" w:hint="default"/>
        <w:vertAlign w:val="baseline"/>
        <w:position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357"/>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es-AR" w:eastAsia="es-AR"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uiPriority="0"/>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990320"/>
    <w:pPr>
      <w:widowControl/>
      <w:bidi w:val="0"/>
      <w:spacing w:before="0" w:after="120"/>
      <w:ind w:firstLine="567"/>
      <w:jc w:val="both"/>
    </w:pPr>
    <w:rPr>
      <w:rFonts w:ascii="Calibri" w:hAnsi="Calibri" w:eastAsia="Times New Roman" w:cs="Times New Roman"/>
      <w:color w:val="000000"/>
      <w:kern w:val="0"/>
      <w:sz w:val="22"/>
      <w:szCs w:val="24"/>
      <w:lang w:val="es-AR" w:eastAsia="es-AR" w:bidi="ar-SA"/>
    </w:rPr>
  </w:style>
  <w:style w:type="paragraph" w:styleId="Ttulo1">
    <w:name w:val="Heading 1"/>
    <w:basedOn w:val="Normal"/>
    <w:next w:val="Normal"/>
    <w:link w:val="Ttulo1Car"/>
    <w:uiPriority w:val="99"/>
    <w:qFormat/>
    <w:rsid w:val="00990320"/>
    <w:pPr>
      <w:keepNext w:val="true"/>
      <w:pBdr>
        <w:top w:val="single" w:sz="4" w:space="1" w:color="000000"/>
        <w:bottom w:val="double" w:sz="4" w:space="1" w:color="000000"/>
      </w:pBdr>
      <w:spacing w:before="480" w:after="240"/>
      <w:ind w:hanging="0"/>
      <w:jc w:val="center"/>
      <w:outlineLvl w:val="0"/>
    </w:pPr>
    <w:rPr>
      <w:rFonts w:ascii="Cambria" w:hAnsi="Cambria"/>
      <w:b/>
      <w:bCs/>
      <w:caps/>
      <w:kern w:val="2"/>
      <w:sz w:val="32"/>
      <w:szCs w:val="32"/>
    </w:rPr>
  </w:style>
  <w:style w:type="paragraph" w:styleId="Ttulo2">
    <w:name w:val="Heading 2"/>
    <w:basedOn w:val="Normal"/>
    <w:next w:val="Normal"/>
    <w:link w:val="Ttulo2Car"/>
    <w:uiPriority w:val="99"/>
    <w:qFormat/>
    <w:rsid w:val="00990320"/>
    <w:pPr>
      <w:keepNext w:val="true"/>
      <w:spacing w:before="240" w:after="240"/>
      <w:ind w:hanging="0"/>
      <w:jc w:val="center"/>
      <w:outlineLvl w:val="1"/>
    </w:pPr>
    <w:rPr>
      <w:rFonts w:ascii="Cambria" w:hAnsi="Cambria"/>
      <w:b/>
      <w:bCs/>
      <w:i/>
      <w:iCs/>
      <w:caps/>
      <w:sz w:val="28"/>
      <w:szCs w:val="28"/>
    </w:rPr>
  </w:style>
  <w:style w:type="paragraph" w:styleId="Ttulo3">
    <w:name w:val="Heading 3"/>
    <w:basedOn w:val="Normal"/>
    <w:next w:val="Normal"/>
    <w:link w:val="Ttulo3Car"/>
    <w:uiPriority w:val="99"/>
    <w:qFormat/>
    <w:rsid w:val="004d4662"/>
    <w:pPr>
      <w:numPr>
        <w:ilvl w:val="0"/>
        <w:numId w:val="1"/>
      </w:numPr>
      <w:tabs>
        <w:tab w:val="clear" w:pos="357"/>
        <w:tab w:val="left" w:pos="1287" w:leader="none"/>
      </w:tabs>
      <w:ind w:left="1287" w:firstLine="567"/>
      <w:outlineLvl w:val="0"/>
    </w:pPr>
    <w:rPr/>
  </w:style>
  <w:style w:type="paragraph" w:styleId="Ttulo4">
    <w:name w:val="Heading 4"/>
    <w:basedOn w:val="Normal"/>
    <w:next w:val="Normal"/>
    <w:link w:val="Ttulo4Car"/>
    <w:uiPriority w:val="99"/>
    <w:qFormat/>
    <w:rsid w:val="0031077f"/>
    <w:pPr>
      <w:keepNext w:val="true"/>
      <w:spacing w:before="240" w:after="120"/>
      <w:outlineLvl w:val="3"/>
    </w:pPr>
    <w:rPr>
      <w:b/>
      <w:bCs/>
    </w:rPr>
  </w:style>
  <w:style w:type="paragraph" w:styleId="Ttulo5">
    <w:name w:val="Heading 5"/>
    <w:basedOn w:val="Normal"/>
    <w:next w:val="Normal"/>
    <w:link w:val="Ttulo5Car"/>
    <w:uiPriority w:val="99"/>
    <w:qFormat/>
    <w:rsid w:val="00990320"/>
    <w:pPr>
      <w:spacing w:before="240" w:after="60"/>
      <w:outlineLvl w:val="4"/>
    </w:pPr>
    <w:rPr>
      <w:bCs/>
      <w:iCs/>
      <w:sz w:val="24"/>
      <w:u w:val="single"/>
    </w:rPr>
  </w:style>
  <w:style w:type="paragraph" w:styleId="Ttulo6">
    <w:name w:val="Heading 6"/>
    <w:basedOn w:val="Normal"/>
    <w:next w:val="Normal"/>
    <w:link w:val="Ttulo6Car"/>
    <w:uiPriority w:val="99"/>
    <w:qFormat/>
    <w:rsid w:val="00990320"/>
    <w:pPr>
      <w:spacing w:before="240" w:after="60"/>
      <w:outlineLvl w:val="5"/>
    </w:pPr>
    <w:rPr>
      <w:b/>
      <w:bCs/>
      <w:szCs w:val="22"/>
    </w:rPr>
  </w:style>
  <w:style w:type="paragraph" w:styleId="Ttulo7">
    <w:name w:val="Heading 7"/>
    <w:basedOn w:val="Normal"/>
    <w:next w:val="Normal"/>
    <w:link w:val="Ttulo7Car"/>
    <w:uiPriority w:val="99"/>
    <w:qFormat/>
    <w:rsid w:val="00990320"/>
    <w:pPr>
      <w:spacing w:before="240" w:after="60"/>
      <w:outlineLvl w:val="6"/>
    </w:pPr>
    <w:rPr/>
  </w:style>
  <w:style w:type="paragraph" w:styleId="Ttulo8">
    <w:name w:val="Heading 8"/>
    <w:basedOn w:val="Normal"/>
    <w:next w:val="Normal"/>
    <w:link w:val="Ttulo8Car"/>
    <w:uiPriority w:val="99"/>
    <w:qFormat/>
    <w:rsid w:val="00990320"/>
    <w:pPr>
      <w:spacing w:before="240" w:after="60"/>
      <w:outlineLvl w:val="7"/>
    </w:pPr>
    <w:rPr>
      <w:i/>
      <w:iCs/>
    </w:rPr>
  </w:style>
  <w:style w:type="paragraph" w:styleId="Ttulo9">
    <w:name w:val="Heading 9"/>
    <w:basedOn w:val="Normal"/>
    <w:next w:val="Normal"/>
    <w:link w:val="Ttulo9Car"/>
    <w:uiPriority w:val="99"/>
    <w:qFormat/>
    <w:rsid w:val="00990320"/>
    <w:pPr>
      <w:spacing w:before="240" w:after="60"/>
      <w:outlineLvl w:val="8"/>
    </w:pPr>
    <w:rPr>
      <w:rFonts w:ascii="Cambria" w:hAnsi="Cambria"/>
      <w:szCs w:val="22"/>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dc6c13"/>
    <w:rPr>
      <w:rFonts w:ascii="Cambria" w:hAnsi="Cambria" w:eastAsia="" w:cs="" w:asciiTheme="majorHAnsi" w:cstheme="majorBidi" w:eastAsiaTheme="majorEastAsia" w:hAnsiTheme="majorHAnsi"/>
      <w:b/>
      <w:bCs/>
      <w:color w:val="000000"/>
      <w:kern w:val="2"/>
      <w:sz w:val="32"/>
      <w:szCs w:val="32"/>
    </w:rPr>
  </w:style>
  <w:style w:type="character" w:styleId="Ttulo2Car" w:customStyle="1">
    <w:name w:val="Título 2 Car"/>
    <w:basedOn w:val="DefaultParagraphFont"/>
    <w:link w:val="Ttulo2"/>
    <w:uiPriority w:val="9"/>
    <w:semiHidden/>
    <w:qFormat/>
    <w:rsid w:val="00dc6c13"/>
    <w:rPr>
      <w:rFonts w:ascii="Cambria" w:hAnsi="Cambria" w:eastAsia="" w:cs="" w:asciiTheme="majorHAnsi" w:cstheme="majorBidi" w:eastAsiaTheme="majorEastAsia" w:hAnsiTheme="majorHAnsi"/>
      <w:b/>
      <w:bCs/>
      <w:i/>
      <w:iCs/>
      <w:color w:val="000000"/>
      <w:sz w:val="28"/>
      <w:szCs w:val="28"/>
    </w:rPr>
  </w:style>
  <w:style w:type="character" w:styleId="Ttulo3Car" w:customStyle="1">
    <w:name w:val="Título 3 Car"/>
    <w:basedOn w:val="DefaultParagraphFont"/>
    <w:link w:val="Ttulo3"/>
    <w:uiPriority w:val="99"/>
    <w:qFormat/>
    <w:rsid w:val="004d4662"/>
    <w:rPr>
      <w:rFonts w:ascii="Calibri" w:hAnsi="Calibri"/>
      <w:color w:val="000000"/>
      <w:szCs w:val="24"/>
    </w:rPr>
  </w:style>
  <w:style w:type="character" w:styleId="Ttulo4Car" w:customStyle="1">
    <w:name w:val="Título 4 Car"/>
    <w:basedOn w:val="DefaultParagraphFont"/>
    <w:link w:val="Ttulo4"/>
    <w:uiPriority w:val="99"/>
    <w:qFormat/>
    <w:rsid w:val="0031077f"/>
    <w:rPr>
      <w:rFonts w:ascii="Calibri" w:hAnsi="Calibri"/>
      <w:b/>
      <w:bCs/>
      <w:color w:val="000000"/>
      <w:szCs w:val="24"/>
    </w:rPr>
  </w:style>
  <w:style w:type="character" w:styleId="Ttulo5Car" w:customStyle="1">
    <w:name w:val="Título 5 Car"/>
    <w:basedOn w:val="DefaultParagraphFont"/>
    <w:link w:val="Ttulo5"/>
    <w:uiPriority w:val="9"/>
    <w:semiHidden/>
    <w:qFormat/>
    <w:rsid w:val="00dc6c13"/>
    <w:rPr>
      <w:rFonts w:ascii="Calibri" w:hAnsi="Calibri" w:eastAsia="" w:cs="" w:asciiTheme="minorHAnsi" w:cstheme="minorBidi" w:eastAsiaTheme="minorEastAsia" w:hAnsiTheme="minorHAnsi"/>
      <w:b/>
      <w:bCs/>
      <w:i/>
      <w:iCs/>
      <w:color w:val="000000"/>
      <w:sz w:val="26"/>
      <w:szCs w:val="26"/>
    </w:rPr>
  </w:style>
  <w:style w:type="character" w:styleId="Ttulo6Car" w:customStyle="1">
    <w:name w:val="Título 6 Car"/>
    <w:basedOn w:val="DefaultParagraphFont"/>
    <w:link w:val="Ttulo6"/>
    <w:uiPriority w:val="9"/>
    <w:semiHidden/>
    <w:qFormat/>
    <w:rsid w:val="00dc6c13"/>
    <w:rPr>
      <w:rFonts w:ascii="Calibri" w:hAnsi="Calibri" w:eastAsia="" w:cs="" w:asciiTheme="minorHAnsi" w:cstheme="minorBidi" w:eastAsiaTheme="minorEastAsia" w:hAnsiTheme="minorHAnsi"/>
      <w:b/>
      <w:bCs/>
      <w:color w:val="000000"/>
    </w:rPr>
  </w:style>
  <w:style w:type="character" w:styleId="Ttulo7Car" w:customStyle="1">
    <w:name w:val="Título 7 Car"/>
    <w:basedOn w:val="DefaultParagraphFont"/>
    <w:link w:val="Ttulo7"/>
    <w:uiPriority w:val="9"/>
    <w:semiHidden/>
    <w:qFormat/>
    <w:rsid w:val="00dc6c13"/>
    <w:rPr>
      <w:rFonts w:ascii="Calibri" w:hAnsi="Calibri" w:eastAsia="" w:cs="" w:asciiTheme="minorHAnsi" w:cstheme="minorBidi" w:eastAsiaTheme="minorEastAsia" w:hAnsiTheme="minorHAnsi"/>
      <w:color w:val="000000"/>
      <w:sz w:val="24"/>
      <w:szCs w:val="24"/>
    </w:rPr>
  </w:style>
  <w:style w:type="character" w:styleId="Ttulo8Car" w:customStyle="1">
    <w:name w:val="Título 8 Car"/>
    <w:basedOn w:val="DefaultParagraphFont"/>
    <w:link w:val="Ttulo8"/>
    <w:uiPriority w:val="9"/>
    <w:semiHidden/>
    <w:qFormat/>
    <w:rsid w:val="00dc6c13"/>
    <w:rPr>
      <w:rFonts w:ascii="Calibri" w:hAnsi="Calibri" w:eastAsia="" w:cs="" w:asciiTheme="minorHAnsi" w:cstheme="minorBidi" w:eastAsiaTheme="minorEastAsia" w:hAnsiTheme="minorHAnsi"/>
      <w:i/>
      <w:iCs/>
      <w:color w:val="000000"/>
      <w:sz w:val="24"/>
      <w:szCs w:val="24"/>
    </w:rPr>
  </w:style>
  <w:style w:type="character" w:styleId="Ttulo9Car" w:customStyle="1">
    <w:name w:val="Título 9 Car"/>
    <w:basedOn w:val="DefaultParagraphFont"/>
    <w:link w:val="Ttulo9"/>
    <w:uiPriority w:val="99"/>
    <w:qFormat/>
    <w:locked/>
    <w:rsid w:val="00990320"/>
    <w:rPr>
      <w:rFonts w:ascii="Cambria" w:hAnsi="Cambria" w:cs="Times New Roman"/>
      <w:color w:val="000000"/>
      <w:sz w:val="22"/>
      <w:szCs w:val="22"/>
    </w:rPr>
  </w:style>
  <w:style w:type="character" w:styleId="EncabezadoCar" w:customStyle="1">
    <w:name w:val="Encabezado Car"/>
    <w:basedOn w:val="DefaultParagraphFont"/>
    <w:link w:val="Encabezado"/>
    <w:uiPriority w:val="99"/>
    <w:semiHidden/>
    <w:qFormat/>
    <w:rsid w:val="00dc6c13"/>
    <w:rPr>
      <w:rFonts w:ascii="Calibri" w:hAnsi="Calibri"/>
      <w:color w:val="000000"/>
      <w:szCs w:val="24"/>
    </w:rPr>
  </w:style>
  <w:style w:type="character" w:styleId="PiedepginaCar" w:customStyle="1">
    <w:name w:val="Pie de página Car"/>
    <w:basedOn w:val="DefaultParagraphFont"/>
    <w:link w:val="Piedepgina"/>
    <w:uiPriority w:val="99"/>
    <w:semiHidden/>
    <w:qFormat/>
    <w:rsid w:val="00dc6c13"/>
    <w:rPr>
      <w:rFonts w:ascii="Calibri" w:hAnsi="Calibri"/>
      <w:color w:val="000000"/>
      <w:szCs w:val="24"/>
    </w:rPr>
  </w:style>
  <w:style w:type="character" w:styleId="Pagenumber">
    <w:name w:val="page number"/>
    <w:basedOn w:val="DefaultParagraphFont"/>
    <w:uiPriority w:val="99"/>
    <w:qFormat/>
    <w:rsid w:val="00990320"/>
    <w:rPr>
      <w:rFonts w:cs="Times New Roman"/>
    </w:rPr>
  </w:style>
  <w:style w:type="character" w:styleId="TextoindependienteCar" w:customStyle="1">
    <w:name w:val="Texto independiente Car"/>
    <w:basedOn w:val="DefaultParagraphFont"/>
    <w:link w:val="Textoindependiente"/>
    <w:uiPriority w:val="99"/>
    <w:qFormat/>
    <w:locked/>
    <w:rsid w:val="00990320"/>
    <w:rPr>
      <w:rFonts w:ascii="Arial" w:hAnsi="Arial" w:cs="Times New Roman"/>
      <w:b/>
      <w:sz w:val="28"/>
      <w:lang w:val="es-ES_tradnl" w:eastAsia="es-ES"/>
    </w:rPr>
  </w:style>
  <w:style w:type="character" w:styleId="Textoindependiente2Car" w:customStyle="1">
    <w:name w:val="Texto independiente 2 Car"/>
    <w:basedOn w:val="DefaultParagraphFont"/>
    <w:link w:val="Textoindependiente2"/>
    <w:uiPriority w:val="99"/>
    <w:semiHidden/>
    <w:qFormat/>
    <w:rsid w:val="00dc6c13"/>
    <w:rPr>
      <w:rFonts w:ascii="Calibri" w:hAnsi="Calibri"/>
      <w:color w:val="000000"/>
      <w:szCs w:val="24"/>
    </w:rPr>
  </w:style>
  <w:style w:type="character" w:styleId="SangradetextonormalCar" w:customStyle="1">
    <w:name w:val="Sangría de texto normal Car"/>
    <w:basedOn w:val="DefaultParagraphFont"/>
    <w:link w:val="Sangradetextonormal"/>
    <w:uiPriority w:val="99"/>
    <w:qFormat/>
    <w:locked/>
    <w:rsid w:val="00990320"/>
    <w:rPr>
      <w:rFonts w:cs="Times New Roman"/>
      <w:sz w:val="24"/>
      <w:szCs w:val="24"/>
      <w:lang w:val="es-ES" w:eastAsia="es-ES"/>
    </w:rPr>
  </w:style>
  <w:style w:type="character" w:styleId="Textoindependiente3Car" w:customStyle="1">
    <w:name w:val="Texto independiente 3 Car"/>
    <w:basedOn w:val="DefaultParagraphFont"/>
    <w:link w:val="Textoindependiente3"/>
    <w:uiPriority w:val="99"/>
    <w:semiHidden/>
    <w:qFormat/>
    <w:rsid w:val="00dc6c13"/>
    <w:rPr>
      <w:rFonts w:ascii="Calibri" w:hAnsi="Calibri"/>
      <w:color w:val="000000"/>
      <w:sz w:val="16"/>
      <w:szCs w:val="16"/>
    </w:rPr>
  </w:style>
  <w:style w:type="character" w:styleId="TextodegloboCar" w:customStyle="1">
    <w:name w:val="Texto de globo Car"/>
    <w:basedOn w:val="DefaultParagraphFont"/>
    <w:link w:val="Textodeglobo"/>
    <w:uiPriority w:val="99"/>
    <w:qFormat/>
    <w:locked/>
    <w:rsid w:val="008502d1"/>
    <w:rPr>
      <w:rFonts w:ascii="Tahoma" w:hAnsi="Tahoma" w:cs="Tahoma"/>
      <w:color w:val="000000"/>
      <w:sz w:val="16"/>
      <w:szCs w:val="16"/>
    </w:rPr>
  </w:style>
  <w:style w:type="character" w:styleId="MapadeldocumentoCar" w:customStyle="1">
    <w:name w:val="Mapa del documento Car"/>
    <w:basedOn w:val="DefaultParagraphFont"/>
    <w:link w:val="Mapadeldocumento"/>
    <w:uiPriority w:val="99"/>
    <w:qFormat/>
    <w:locked/>
    <w:rsid w:val="00990320"/>
    <w:rPr>
      <w:rFonts w:ascii="Tahoma" w:hAnsi="Tahoma" w:cs="Tahoma"/>
      <w:color w:val="000000"/>
      <w:sz w:val="16"/>
      <w:szCs w:val="16"/>
    </w:rPr>
  </w:style>
  <w:style w:type="character" w:styleId="CitaCar" w:customStyle="1">
    <w:name w:val="Cita Car"/>
    <w:basedOn w:val="DefaultParagraphFont"/>
    <w:link w:val="Cita"/>
    <w:uiPriority w:val="99"/>
    <w:qFormat/>
    <w:locked/>
    <w:rsid w:val="00990320"/>
    <w:rPr>
      <w:rFonts w:ascii="Calibri" w:hAnsi="Calibri" w:cs="Times New Roman"/>
      <w:i/>
      <w:sz w:val="24"/>
      <w:szCs w:val="24"/>
    </w:rPr>
  </w:style>
  <w:style w:type="character" w:styleId="CitadestacadaCar" w:customStyle="1">
    <w:name w:val="Cita destacada Car"/>
    <w:basedOn w:val="DefaultParagraphFont"/>
    <w:link w:val="Citadestacada"/>
    <w:uiPriority w:val="99"/>
    <w:qFormat/>
    <w:locked/>
    <w:rsid w:val="00990320"/>
    <w:rPr>
      <w:rFonts w:ascii="Calibri" w:hAnsi="Calibri" w:cs="Times New Roman"/>
      <w:b/>
      <w:i/>
      <w:sz w:val="22"/>
      <w:szCs w:val="22"/>
    </w:rPr>
  </w:style>
  <w:style w:type="character" w:styleId="Destacado">
    <w:name w:val="Destacado"/>
    <w:basedOn w:val="DefaultParagraphFont"/>
    <w:uiPriority w:val="99"/>
    <w:qFormat/>
    <w:rsid w:val="00990320"/>
    <w:rPr>
      <w:rFonts w:cs="Times New Roman"/>
      <w:i/>
      <w:iCs/>
    </w:rPr>
  </w:style>
  <w:style w:type="character" w:styleId="IntenseEmphasis">
    <w:name w:val="Intense Emphasis"/>
    <w:basedOn w:val="DefaultParagraphFont"/>
    <w:uiPriority w:val="99"/>
    <w:qFormat/>
    <w:rsid w:val="00990320"/>
    <w:rPr>
      <w:rFonts w:cs="Times New Roman"/>
      <w:b/>
      <w:i/>
      <w:sz w:val="24"/>
      <w:szCs w:val="24"/>
      <w:u w:val="single"/>
    </w:rPr>
  </w:style>
  <w:style w:type="character" w:styleId="SubtleEmphasis">
    <w:name w:val="Subtle Emphasis"/>
    <w:basedOn w:val="DefaultParagraphFont"/>
    <w:uiPriority w:val="99"/>
    <w:qFormat/>
    <w:rsid w:val="00990320"/>
    <w:rPr>
      <w:i/>
      <w:color w:val="5A5A5A"/>
    </w:rPr>
  </w:style>
  <w:style w:type="character" w:styleId="EnlacedeInternet">
    <w:name w:val="Enlace de Internet"/>
    <w:basedOn w:val="DefaultParagraphFont"/>
    <w:uiPriority w:val="99"/>
    <w:rsid w:val="00990320"/>
    <w:rPr>
      <w:rFonts w:cs="Times New Roman"/>
      <w:color w:val="0000FF"/>
      <w:u w:val="single"/>
    </w:rPr>
  </w:style>
  <w:style w:type="character" w:styleId="FollowedHyperlink">
    <w:name w:val="FollowedHyperlink"/>
    <w:basedOn w:val="DefaultParagraphFont"/>
    <w:uiPriority w:val="99"/>
    <w:qFormat/>
    <w:rsid w:val="00990320"/>
    <w:rPr>
      <w:rFonts w:cs="Times New Roman"/>
      <w:color w:val="800080"/>
      <w:u w:val="single"/>
    </w:rPr>
  </w:style>
  <w:style w:type="character" w:styleId="Annotationreference">
    <w:name w:val="annotation reference"/>
    <w:basedOn w:val="DefaultParagraphFont"/>
    <w:uiPriority w:val="99"/>
    <w:qFormat/>
    <w:rsid w:val="00990320"/>
    <w:rPr>
      <w:rFonts w:cs="Times New Roman"/>
      <w:sz w:val="16"/>
    </w:rPr>
  </w:style>
  <w:style w:type="character" w:styleId="Ancladenotafinal">
    <w:name w:val="Ancla de nota final"/>
    <w:rPr>
      <w:rFonts w:cs="Times New Roman"/>
      <w:vertAlign w:val="superscript"/>
    </w:rPr>
  </w:style>
  <w:style w:type="character" w:styleId="EndnoteCharacters">
    <w:name w:val="Endnote Characters"/>
    <w:basedOn w:val="DefaultParagraphFont"/>
    <w:uiPriority w:val="99"/>
    <w:qFormat/>
    <w:rsid w:val="00990320"/>
    <w:rPr>
      <w:rFonts w:cs="Times New Roman"/>
      <w:vertAlign w:val="superscript"/>
    </w:rPr>
  </w:style>
  <w:style w:type="character" w:styleId="Ancladenotaalpie">
    <w:name w:val="Ancla de nota al pie"/>
    <w:rPr>
      <w:rFonts w:cs="Times New Roman"/>
      <w:vertAlign w:val="superscript"/>
    </w:rPr>
  </w:style>
  <w:style w:type="character" w:styleId="FootnoteCharacters">
    <w:name w:val="Footnote Characters"/>
    <w:basedOn w:val="DefaultParagraphFont"/>
    <w:uiPriority w:val="99"/>
    <w:qFormat/>
    <w:rsid w:val="00990320"/>
    <w:rPr>
      <w:rFonts w:cs="Times New Roman"/>
      <w:vertAlign w:val="superscript"/>
    </w:rPr>
  </w:style>
  <w:style w:type="character" w:styleId="IntenseReference">
    <w:name w:val="Intense Reference"/>
    <w:basedOn w:val="DefaultParagraphFont"/>
    <w:uiPriority w:val="99"/>
    <w:qFormat/>
    <w:rsid w:val="00990320"/>
    <w:rPr>
      <w:rFonts w:cs="Times New Roman"/>
      <w:b/>
      <w:sz w:val="24"/>
      <w:u w:val="single"/>
    </w:rPr>
  </w:style>
  <w:style w:type="character" w:styleId="SubtleReference">
    <w:name w:val="Subtle Reference"/>
    <w:basedOn w:val="DefaultParagraphFont"/>
    <w:uiPriority w:val="99"/>
    <w:qFormat/>
    <w:rsid w:val="00990320"/>
    <w:rPr>
      <w:rFonts w:cs="Times New Roman"/>
      <w:sz w:val="24"/>
      <w:szCs w:val="24"/>
      <w:u w:val="single"/>
    </w:rPr>
  </w:style>
  <w:style w:type="character" w:styleId="SaludoCar" w:customStyle="1">
    <w:name w:val="Saludo Car"/>
    <w:basedOn w:val="DefaultParagraphFont"/>
    <w:link w:val="Saludo"/>
    <w:uiPriority w:val="99"/>
    <w:qFormat/>
    <w:locked/>
    <w:rsid w:val="00990320"/>
    <w:rPr>
      <w:rFonts w:cs="Times New Roman"/>
      <w:sz w:val="24"/>
      <w:szCs w:val="24"/>
      <w:lang w:val="es-ES" w:eastAsia="es-ES"/>
    </w:rPr>
  </w:style>
  <w:style w:type="character" w:styleId="Style9" w:customStyle="1">
    <w:name w:val="style9"/>
    <w:basedOn w:val="DefaultParagraphFont"/>
    <w:uiPriority w:val="99"/>
    <w:qFormat/>
    <w:rsid w:val="00990320"/>
    <w:rPr>
      <w:rFonts w:cs="Times New Roman"/>
    </w:rPr>
  </w:style>
  <w:style w:type="character" w:styleId="TextocomentarioCar" w:customStyle="1">
    <w:name w:val="Texto comentario Car"/>
    <w:basedOn w:val="DefaultParagraphFont"/>
    <w:link w:val="Textocomentario"/>
    <w:uiPriority w:val="99"/>
    <w:qFormat/>
    <w:locked/>
    <w:rsid w:val="00990320"/>
    <w:rPr>
      <w:rFonts w:cs="Times New Roman"/>
      <w:lang w:val="es-ES" w:eastAsia="es-ES"/>
    </w:rPr>
  </w:style>
  <w:style w:type="character" w:styleId="Strong">
    <w:name w:val="Strong"/>
    <w:basedOn w:val="DefaultParagraphFont"/>
    <w:uiPriority w:val="99"/>
    <w:qFormat/>
    <w:rsid w:val="00990320"/>
    <w:rPr>
      <w:rFonts w:cs="Times New Roman"/>
      <w:b/>
      <w:bCs/>
    </w:rPr>
  </w:style>
  <w:style w:type="character" w:styleId="Textoindependienteprimerasangra2Car" w:customStyle="1">
    <w:name w:val="Texto independiente primera sangría 2 Car"/>
    <w:basedOn w:val="SangradetextonormalCar"/>
    <w:link w:val="Textoindependienteprimerasangra2"/>
    <w:uiPriority w:val="99"/>
    <w:qFormat/>
    <w:locked/>
    <w:rsid w:val="00990320"/>
    <w:rPr/>
  </w:style>
  <w:style w:type="character" w:styleId="TextonotaalfinalCar" w:customStyle="1">
    <w:name w:val="Texto nota al final Car"/>
    <w:basedOn w:val="DefaultParagraphFont"/>
    <w:link w:val="Textonotaalfinal"/>
    <w:uiPriority w:val="99"/>
    <w:qFormat/>
    <w:locked/>
    <w:rsid w:val="00990320"/>
    <w:rPr>
      <w:rFonts w:ascii="Calibri" w:hAnsi="Calibri" w:cs="Times New Roman"/>
      <w:color w:val="000000"/>
    </w:rPr>
  </w:style>
  <w:style w:type="character" w:styleId="TextonotapieCar" w:customStyle="1">
    <w:name w:val="Texto nota pie Car"/>
    <w:basedOn w:val="DefaultParagraphFont"/>
    <w:link w:val="Textonotapie"/>
    <w:uiPriority w:val="99"/>
    <w:qFormat/>
    <w:locked/>
    <w:rsid w:val="00990320"/>
    <w:rPr>
      <w:rFonts w:ascii="Calibri" w:hAnsi="Calibri" w:cs="Times New Roman"/>
      <w:color w:val="000000"/>
    </w:rPr>
  </w:style>
  <w:style w:type="character" w:styleId="TextosinformatoCar" w:customStyle="1">
    <w:name w:val="Texto sin formato Car"/>
    <w:basedOn w:val="DefaultParagraphFont"/>
    <w:link w:val="Textosinformato"/>
    <w:uiPriority w:val="99"/>
    <w:qFormat/>
    <w:locked/>
    <w:rsid w:val="00990320"/>
    <w:rPr>
      <w:rFonts w:ascii="Courier New" w:hAnsi="Courier New" w:cs="Courier New"/>
      <w:lang w:val="es-ES" w:eastAsia="es-ES"/>
    </w:rPr>
  </w:style>
  <w:style w:type="character" w:styleId="BookTitle">
    <w:name w:val="Book Title"/>
    <w:basedOn w:val="DefaultParagraphFont"/>
    <w:uiPriority w:val="99"/>
    <w:qFormat/>
    <w:rsid w:val="00990320"/>
    <w:rPr>
      <w:rFonts w:cs="Times New Roman"/>
      <w:b/>
      <w:bCs/>
      <w:smallCaps/>
      <w:spacing w:val="5"/>
    </w:rPr>
  </w:style>
  <w:style w:type="character" w:styleId="AsuntodelcomentarioCar" w:customStyle="1">
    <w:name w:val="Asunto del comentario Car"/>
    <w:basedOn w:val="TextocomentarioCar"/>
    <w:link w:val="Asuntodelcomentario"/>
    <w:uiPriority w:val="99"/>
    <w:semiHidden/>
    <w:qFormat/>
    <w:rsid w:val="00dc6c13"/>
    <w:rPr>
      <w:rFonts w:ascii="Calibri" w:hAnsi="Calibri"/>
      <w:b/>
      <w:bCs/>
      <w:color w:val="000000"/>
      <w:sz w:val="20"/>
      <w:szCs w:val="20"/>
    </w:rPr>
  </w:style>
  <w:style w:type="character" w:styleId="PlaceholderText">
    <w:name w:val="Placeholder Text"/>
    <w:basedOn w:val="DefaultParagraphFont"/>
    <w:uiPriority w:val="99"/>
    <w:semiHidden/>
    <w:qFormat/>
    <w:rsid w:val="00ea427f"/>
    <w:rPr>
      <w:color w:val="808080"/>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position w:val="0"/>
      <w:sz w:val="22"/>
      <w:vertAlign w:val="baseli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100"/>
      <w:kern w:val="0"/>
      <w:position w:val="0"/>
      <w:sz w:val="24"/>
      <w:sz w:val="24"/>
      <w:szCs w:val="24"/>
      <w:u w:val="none"/>
      <w:vertAlign w:val="baseline"/>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position w:val="0"/>
      <w:sz w:val="22"/>
      <w:vertAlign w:val="baseline"/>
    </w:rPr>
  </w:style>
  <w:style w:type="character" w:styleId="ListLabel66">
    <w:name w:val="ListLabel 66"/>
    <w:qFormat/>
    <w:rPr>
      <w:rFonts w:eastAsia="Times New Roman" w:cs="Times New Roman"/>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link w:val="TextoindependienteCar"/>
    <w:uiPriority w:val="99"/>
    <w:rsid w:val="00990320"/>
    <w:pPr>
      <w:spacing w:before="0" w:after="0"/>
      <w:ind w:hanging="0"/>
      <w:jc w:val="center"/>
    </w:pPr>
    <w:rPr>
      <w:rFonts w:ascii="Arial" w:hAnsi="Arial"/>
      <w:b/>
      <w:color w:val="auto"/>
      <w:sz w:val="28"/>
      <w:szCs w:val="20"/>
      <w:lang w:val="es-ES_tradnl" w:eastAsia="es-ES"/>
    </w:rPr>
  </w:style>
  <w:style w:type="paragraph" w:styleId="Lista">
    <w:name w:val="List"/>
    <w:basedOn w:val="Normal"/>
    <w:uiPriority w:val="99"/>
    <w:rsid w:val="00990320"/>
    <w:pPr>
      <w:spacing w:before="0" w:after="0"/>
      <w:ind w:left="283" w:hanging="283"/>
      <w:jc w:val="left"/>
    </w:pPr>
    <w:rPr>
      <w:rFonts w:ascii="Times New Roman" w:hAnsi="Times New Roman"/>
      <w:color w:val="auto"/>
      <w:sz w:val="24"/>
      <w:lang w:val="es-ES" w:eastAsia="es-ES"/>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rsid w:val="00990320"/>
    <w:pPr>
      <w:tabs>
        <w:tab w:val="clear" w:pos="357"/>
        <w:tab w:val="center" w:pos="4419" w:leader="none"/>
        <w:tab w:val="right" w:pos="8838" w:leader="none"/>
      </w:tabs>
      <w:spacing w:before="0" w:after="0"/>
      <w:ind w:hanging="0"/>
      <w:jc w:val="right"/>
    </w:pPr>
    <w:rPr>
      <w:i/>
      <w:sz w:val="20"/>
    </w:rPr>
  </w:style>
  <w:style w:type="paragraph" w:styleId="Piedepgina">
    <w:name w:val="Footer"/>
    <w:basedOn w:val="Cabecera"/>
    <w:link w:val="PiedepginaCar"/>
    <w:uiPriority w:val="99"/>
    <w:rsid w:val="001d1ec0"/>
    <w:pPr>
      <w:tabs>
        <w:tab w:val="clear" w:pos="4419"/>
        <w:tab w:val="clear" w:pos="8838"/>
      </w:tabs>
      <w:jc w:val="center"/>
    </w:pPr>
    <w:rPr/>
  </w:style>
  <w:style w:type="paragraph" w:styleId="BodyText2">
    <w:name w:val="Body Text 2"/>
    <w:basedOn w:val="Normal"/>
    <w:link w:val="Textoindependiente2Car"/>
    <w:uiPriority w:val="99"/>
    <w:qFormat/>
    <w:rsid w:val="005011ae"/>
    <w:pPr/>
    <w:rPr>
      <w:rFonts w:ascii="Arial" w:hAnsi="Arial" w:cs="Arial"/>
      <w:b/>
    </w:rPr>
  </w:style>
  <w:style w:type="paragraph" w:styleId="Cuerpodetextoconsangra">
    <w:name w:val="Body Text Indent"/>
    <w:basedOn w:val="Normal"/>
    <w:link w:val="SangradetextonormalCar"/>
    <w:uiPriority w:val="99"/>
    <w:rsid w:val="00990320"/>
    <w:pPr>
      <w:ind w:left="283" w:hanging="0"/>
      <w:jc w:val="left"/>
    </w:pPr>
    <w:rPr>
      <w:rFonts w:ascii="Times New Roman" w:hAnsi="Times New Roman"/>
      <w:color w:val="auto"/>
      <w:sz w:val="24"/>
      <w:lang w:val="es-ES" w:eastAsia="es-ES"/>
    </w:rPr>
  </w:style>
  <w:style w:type="paragraph" w:styleId="BodyText3">
    <w:name w:val="Body Text 3"/>
    <w:basedOn w:val="Normal"/>
    <w:link w:val="Textoindependiente3Car"/>
    <w:uiPriority w:val="99"/>
    <w:qFormat/>
    <w:rsid w:val="005011ae"/>
    <w:pPr>
      <w:jc w:val="center"/>
    </w:pPr>
    <w:rPr>
      <w:rFonts w:ascii="Arial" w:hAnsi="Arial" w:cs="Arial"/>
      <w:b/>
    </w:rPr>
  </w:style>
  <w:style w:type="paragraph" w:styleId="BalloonText">
    <w:name w:val="Balloon Text"/>
    <w:basedOn w:val="Normal"/>
    <w:link w:val="TextodegloboCar"/>
    <w:uiPriority w:val="99"/>
    <w:qFormat/>
    <w:rsid w:val="00990320"/>
    <w:pPr>
      <w:spacing w:before="0" w:after="0"/>
    </w:pPr>
    <w:rPr>
      <w:rFonts w:ascii="Tahoma" w:hAnsi="Tahoma" w:cs="Tahoma"/>
      <w:sz w:val="16"/>
      <w:szCs w:val="16"/>
    </w:rPr>
  </w:style>
  <w:style w:type="paragraph" w:styleId="DocumentMap">
    <w:name w:val="Document Map"/>
    <w:basedOn w:val="Normal"/>
    <w:link w:val="MapadeldocumentoCar"/>
    <w:uiPriority w:val="99"/>
    <w:qFormat/>
    <w:rsid w:val="00990320"/>
    <w:pPr>
      <w:spacing w:before="0" w:after="0"/>
    </w:pPr>
    <w:rPr>
      <w:rFonts w:ascii="Tahoma" w:hAnsi="Tahoma" w:cs="Tahoma"/>
      <w:sz w:val="16"/>
      <w:szCs w:val="16"/>
    </w:rPr>
  </w:style>
  <w:style w:type="paragraph" w:styleId="Bibliography">
    <w:name w:val="Bibliography"/>
    <w:basedOn w:val="Normal"/>
    <w:next w:val="Normal"/>
    <w:uiPriority w:val="99"/>
    <w:qFormat/>
    <w:rsid w:val="00990320"/>
    <w:pPr>
      <w:ind w:left="567" w:hanging="567"/>
    </w:pPr>
    <w:rPr/>
  </w:style>
  <w:style w:type="paragraph" w:styleId="Cartula1UNLPFCAyFMyCS" w:customStyle="1">
    <w:name w:val="Carátula 1 UNLP FCAyF MyCS"/>
    <w:basedOn w:val="Normal"/>
    <w:uiPriority w:val="99"/>
    <w:qFormat/>
    <w:rsid w:val="00990320"/>
    <w:pPr>
      <w:ind w:hanging="0"/>
      <w:jc w:val="center"/>
    </w:pPr>
    <w:rPr>
      <w:b/>
      <w:sz w:val="48"/>
      <w:szCs w:val="44"/>
    </w:rPr>
  </w:style>
  <w:style w:type="paragraph" w:styleId="Cartula2MATERIALUDAO" w:customStyle="1">
    <w:name w:val="Carátula 2 MATERIAL UD AÑO"/>
    <w:basedOn w:val="Normal"/>
    <w:uiPriority w:val="99"/>
    <w:qFormat/>
    <w:rsid w:val="00990320"/>
    <w:pPr>
      <w:ind w:hanging="0"/>
      <w:jc w:val="center"/>
    </w:pPr>
    <w:rPr>
      <w:b/>
      <w:sz w:val="44"/>
      <w:szCs w:val="44"/>
    </w:rPr>
  </w:style>
  <w:style w:type="paragraph" w:styleId="Cartula3DetalleUD" w:customStyle="1">
    <w:name w:val="Carátula 3 Detalle UD"/>
    <w:basedOn w:val="Normal"/>
    <w:uiPriority w:val="99"/>
    <w:qFormat/>
    <w:rsid w:val="00990320"/>
    <w:pPr>
      <w:ind w:hanging="0"/>
      <w:jc w:val="center"/>
    </w:pPr>
    <w:rPr>
      <w:b/>
      <w:i/>
      <w:sz w:val="44"/>
      <w:szCs w:val="44"/>
    </w:rPr>
  </w:style>
  <w:style w:type="paragraph" w:styleId="Cartula4Autora" w:customStyle="1">
    <w:name w:val="Carátula 4 Autor/a"/>
    <w:basedOn w:val="Normal"/>
    <w:uiPriority w:val="99"/>
    <w:qFormat/>
    <w:rsid w:val="00990320"/>
    <w:pPr>
      <w:ind w:hanging="0"/>
      <w:jc w:val="center"/>
    </w:pPr>
    <w:rPr>
      <w:i/>
      <w:sz w:val="44"/>
      <w:szCs w:val="44"/>
    </w:rPr>
  </w:style>
  <w:style w:type="paragraph" w:styleId="Quote">
    <w:name w:val="Quote"/>
    <w:basedOn w:val="Normal"/>
    <w:next w:val="Normal"/>
    <w:link w:val="CitaCar"/>
    <w:uiPriority w:val="99"/>
    <w:qFormat/>
    <w:rsid w:val="00990320"/>
    <w:pPr>
      <w:ind w:hanging="0"/>
    </w:pPr>
    <w:rPr>
      <w:i/>
      <w:color w:val="auto"/>
    </w:rPr>
  </w:style>
  <w:style w:type="paragraph" w:styleId="IntenseQuote">
    <w:name w:val="Intense Quote"/>
    <w:basedOn w:val="Normal"/>
    <w:next w:val="Normal"/>
    <w:link w:val="CitadestacadaCar"/>
    <w:uiPriority w:val="99"/>
    <w:qFormat/>
    <w:rsid w:val="00990320"/>
    <w:pPr>
      <w:ind w:left="720" w:right="720" w:hanging="0"/>
    </w:pPr>
    <w:rPr>
      <w:b/>
      <w:i/>
      <w:color w:val="auto"/>
      <w:szCs w:val="22"/>
    </w:rPr>
  </w:style>
  <w:style w:type="paragraph" w:styleId="Cuestionarios" w:customStyle="1">
    <w:name w:val="Cuestionarios"/>
    <w:basedOn w:val="Normal"/>
    <w:uiPriority w:val="99"/>
    <w:qFormat/>
    <w:rsid w:val="00990320"/>
    <w:pPr>
      <w:tabs>
        <w:tab w:val="clear" w:pos="357"/>
        <w:tab w:val="left" w:pos="284" w:leader="none"/>
      </w:tabs>
      <w:spacing w:lineRule="auto" w:line="360" w:before="0" w:after="0"/>
      <w:ind w:hanging="0"/>
    </w:pPr>
    <w:rPr/>
  </w:style>
  <w:style w:type="paragraph" w:styleId="Ecuaciones" w:customStyle="1">
    <w:name w:val="Ecuaciones"/>
    <w:basedOn w:val="Normal"/>
    <w:next w:val="Normal"/>
    <w:uiPriority w:val="99"/>
    <w:qFormat/>
    <w:rsid w:val="00990320"/>
    <w:pPr>
      <w:jc w:val="center"/>
    </w:pPr>
    <w:rPr>
      <w:rFonts w:ascii="Cambria Math" w:hAnsi="Cambria Math"/>
      <w:i/>
    </w:rPr>
  </w:style>
  <w:style w:type="paragraph" w:styleId="Caption">
    <w:name w:val="caption"/>
    <w:basedOn w:val="Normal"/>
    <w:next w:val="Normal"/>
    <w:uiPriority w:val="99"/>
    <w:qFormat/>
    <w:rsid w:val="00990320"/>
    <w:pPr>
      <w:ind w:hanging="0"/>
    </w:pPr>
    <w:rPr>
      <w:b/>
      <w:bCs/>
      <w:caps/>
      <w:color w:val="auto"/>
      <w:sz w:val="16"/>
      <w:szCs w:val="16"/>
    </w:rPr>
  </w:style>
  <w:style w:type="paragraph" w:styleId="Figuras" w:customStyle="1">
    <w:name w:val="Figuras"/>
    <w:basedOn w:val="Normal"/>
    <w:uiPriority w:val="99"/>
    <w:qFormat/>
    <w:rsid w:val="00990320"/>
    <w:pPr>
      <w:ind w:hanging="0"/>
      <w:jc w:val="center"/>
    </w:pPr>
    <w:rPr>
      <w:i/>
      <w:sz w:val="20"/>
    </w:rPr>
  </w:style>
  <w:style w:type="paragraph" w:styleId="FigurasPiedepagina" w:customStyle="1">
    <w:name w:val="Figuras - Pie de pagina"/>
    <w:basedOn w:val="Normal"/>
    <w:uiPriority w:val="99"/>
    <w:qFormat/>
    <w:rsid w:val="00990320"/>
    <w:pPr>
      <w:ind w:hanging="0"/>
      <w:jc w:val="center"/>
    </w:pPr>
    <w:rPr>
      <w:i/>
      <w:sz w:val="20"/>
    </w:rPr>
  </w:style>
  <w:style w:type="paragraph" w:styleId="Figuras1" w:customStyle="1">
    <w:name w:val="Figuras1"/>
    <w:basedOn w:val="Normal"/>
    <w:uiPriority w:val="99"/>
    <w:qFormat/>
    <w:rsid w:val="00990320"/>
    <w:pPr>
      <w:tabs>
        <w:tab w:val="clear" w:pos="357"/>
        <w:tab w:val="left" w:pos="1985" w:leader="none"/>
      </w:tabs>
      <w:spacing w:lineRule="auto" w:line="276" w:before="0" w:after="200"/>
      <w:ind w:left="708" w:hanging="0"/>
    </w:pPr>
    <w:rPr>
      <w:rFonts w:ascii="Arial" w:hAnsi="Arial" w:cs="Calibri"/>
      <w:i/>
      <w:color w:val="auto"/>
      <w:szCs w:val="22"/>
      <w:lang w:eastAsia="en-US"/>
    </w:rPr>
  </w:style>
  <w:style w:type="paragraph" w:styleId="Index1">
    <w:name w:val="index 1"/>
    <w:basedOn w:val="Normal"/>
    <w:next w:val="Normal"/>
    <w:autoRedefine/>
    <w:uiPriority w:val="99"/>
    <w:qFormat/>
    <w:rsid w:val="00990320"/>
    <w:pPr>
      <w:spacing w:before="0" w:after="0"/>
      <w:ind w:left="240" w:hanging="240"/>
      <w:jc w:val="left"/>
    </w:pPr>
    <w:rPr>
      <w:rFonts w:ascii="Times New Roman" w:hAnsi="Times New Roman"/>
      <w:color w:val="auto"/>
      <w:sz w:val="24"/>
      <w:lang w:val="es-ES" w:eastAsia="es-ES"/>
    </w:rPr>
  </w:style>
  <w:style w:type="paragraph" w:styleId="Letras" w:customStyle="1">
    <w:name w:val="Letras"/>
    <w:basedOn w:val="Normal"/>
    <w:uiPriority w:val="99"/>
    <w:qFormat/>
    <w:rsid w:val="00990320"/>
    <w:pPr>
      <w:spacing w:before="0" w:after="0"/>
      <w:ind w:left="1287" w:hanging="360"/>
    </w:pPr>
    <w:rPr/>
  </w:style>
  <w:style w:type="paragraph" w:styleId="Lista2">
    <w:name w:val="List Bullet 3"/>
    <w:basedOn w:val="Normal"/>
    <w:uiPriority w:val="99"/>
    <w:rsid w:val="00990320"/>
    <w:pPr>
      <w:spacing w:before="0" w:after="0"/>
      <w:ind w:left="566" w:hanging="283"/>
      <w:jc w:val="left"/>
    </w:pPr>
    <w:rPr>
      <w:rFonts w:ascii="Times New Roman" w:hAnsi="Times New Roman"/>
      <w:color w:val="auto"/>
      <w:sz w:val="24"/>
      <w:lang w:val="es-ES" w:eastAsia="es-ES"/>
    </w:rPr>
  </w:style>
  <w:style w:type="paragraph" w:styleId="ListNumber">
    <w:name w:val="List Number"/>
    <w:basedOn w:val="Normal"/>
    <w:uiPriority w:val="99"/>
    <w:qFormat/>
    <w:rsid w:val="00990320"/>
    <w:pPr>
      <w:spacing w:before="0" w:after="0"/>
      <w:ind w:hanging="0"/>
      <w:contextualSpacing/>
    </w:pPr>
    <w:rPr/>
  </w:style>
  <w:style w:type="paragraph" w:styleId="ListBullet">
    <w:name w:val="List Bullet"/>
    <w:basedOn w:val="Normal"/>
    <w:uiPriority w:val="99"/>
    <w:qFormat/>
    <w:rsid w:val="00990320"/>
    <w:pPr>
      <w:tabs>
        <w:tab w:val="clear" w:pos="357"/>
        <w:tab w:val="left" w:pos="720" w:leader="none"/>
      </w:tabs>
      <w:spacing w:before="0" w:after="0"/>
      <w:ind w:left="720" w:hanging="360"/>
      <w:jc w:val="left"/>
    </w:pPr>
    <w:rPr>
      <w:rFonts w:ascii="Times New Roman" w:hAnsi="Times New Roman"/>
      <w:color w:val="auto"/>
      <w:sz w:val="24"/>
      <w:lang w:val="es-ES" w:eastAsia="es-ES"/>
    </w:rPr>
  </w:style>
  <w:style w:type="paragraph" w:styleId="ListBullet2">
    <w:name w:val="List Bullet 2"/>
    <w:basedOn w:val="Normal"/>
    <w:uiPriority w:val="99"/>
    <w:qFormat/>
    <w:rsid w:val="00990320"/>
    <w:pPr>
      <w:tabs>
        <w:tab w:val="clear" w:pos="357"/>
        <w:tab w:val="left" w:pos="643" w:leader="none"/>
      </w:tabs>
      <w:spacing w:before="0" w:after="0"/>
      <w:ind w:left="643" w:hanging="360"/>
      <w:jc w:val="left"/>
    </w:pPr>
    <w:rPr>
      <w:rFonts w:ascii="Times New Roman" w:hAnsi="Times New Roman"/>
      <w:color w:val="auto"/>
      <w:sz w:val="24"/>
      <w:lang w:val="es-ES" w:eastAsia="es-ES"/>
    </w:rPr>
  </w:style>
  <w:style w:type="paragraph" w:styleId="ListBullet3">
    <w:name w:val="List Bullet 3"/>
    <w:basedOn w:val="Normal"/>
    <w:uiPriority w:val="99"/>
    <w:qFormat/>
    <w:rsid w:val="00990320"/>
    <w:pPr>
      <w:tabs>
        <w:tab w:val="clear" w:pos="357"/>
        <w:tab w:val="left" w:pos="926" w:leader="none"/>
      </w:tabs>
      <w:spacing w:before="0" w:after="0"/>
      <w:ind w:left="926" w:hanging="360"/>
      <w:jc w:val="left"/>
    </w:pPr>
    <w:rPr>
      <w:rFonts w:ascii="Times New Roman" w:hAnsi="Times New Roman"/>
      <w:color w:val="auto"/>
      <w:sz w:val="24"/>
      <w:lang w:val="es-ES" w:eastAsia="es-ES"/>
    </w:rPr>
  </w:style>
  <w:style w:type="paragraph" w:styleId="Mapas" w:customStyle="1">
    <w:name w:val="Mapas"/>
    <w:basedOn w:val="Normal"/>
    <w:uiPriority w:val="99"/>
    <w:qFormat/>
    <w:rsid w:val="00990320"/>
    <w:pPr>
      <w:tabs>
        <w:tab w:val="clear" w:pos="357"/>
        <w:tab w:val="left" w:pos="1985" w:leader="none"/>
      </w:tabs>
      <w:spacing w:lineRule="auto" w:line="276" w:before="0" w:after="200"/>
      <w:ind w:left="708" w:hanging="0"/>
    </w:pPr>
    <w:rPr>
      <w:rFonts w:ascii="Arial" w:hAnsi="Arial" w:cs="Calibri"/>
      <w:i/>
      <w:color w:val="auto"/>
      <w:szCs w:val="22"/>
      <w:lang w:eastAsia="en-US"/>
    </w:rPr>
  </w:style>
  <w:style w:type="paragraph" w:styleId="ListParagraph">
    <w:name w:val="List Paragraph"/>
    <w:basedOn w:val="Normal"/>
    <w:uiPriority w:val="99"/>
    <w:qFormat/>
    <w:rsid w:val="00990320"/>
    <w:pPr>
      <w:tabs>
        <w:tab w:val="clear" w:pos="357"/>
        <w:tab w:val="left" w:pos="284" w:leader="none"/>
      </w:tabs>
      <w:spacing w:before="0" w:after="0"/>
      <w:ind w:hanging="0"/>
      <w:contextualSpacing/>
    </w:pPr>
    <w:rPr/>
  </w:style>
  <w:style w:type="paragraph" w:styleId="NomalCuestionario" w:customStyle="1">
    <w:name w:val="Nomal Cuestionario"/>
    <w:basedOn w:val="ListParagraph"/>
    <w:uiPriority w:val="99"/>
    <w:qFormat/>
    <w:rsid w:val="00990320"/>
    <w:pPr>
      <w:tabs>
        <w:tab w:val="clear" w:pos="284"/>
      </w:tabs>
      <w:spacing w:lineRule="auto" w:line="360"/>
    </w:pPr>
    <w:rPr/>
  </w:style>
  <w:style w:type="paragraph" w:styleId="NormalWeb">
    <w:name w:val="Normal (Web)"/>
    <w:basedOn w:val="Normal"/>
    <w:uiPriority w:val="99"/>
    <w:qFormat/>
    <w:rsid w:val="00990320"/>
    <w:pPr>
      <w:spacing w:beforeAutospacing="1" w:afterAutospacing="1"/>
      <w:ind w:hanging="0"/>
      <w:jc w:val="left"/>
    </w:pPr>
    <w:rPr>
      <w:rFonts w:ascii="Times New Roman" w:hAnsi="Times New Roman"/>
      <w:color w:val="auto"/>
      <w:sz w:val="24"/>
    </w:rPr>
  </w:style>
  <w:style w:type="paragraph" w:styleId="NormalFiguras" w:customStyle="1">
    <w:name w:val="Normal Figuras"/>
    <w:basedOn w:val="Normal"/>
    <w:uiPriority w:val="99"/>
    <w:qFormat/>
    <w:rsid w:val="00990320"/>
    <w:pPr>
      <w:jc w:val="center"/>
    </w:pPr>
    <w:rPr>
      <w:i/>
    </w:rPr>
  </w:style>
  <w:style w:type="paragraph" w:styleId="Normalsinespacio" w:customStyle="1">
    <w:name w:val="Normal sin espacio"/>
    <w:basedOn w:val="Normal"/>
    <w:uiPriority w:val="99"/>
    <w:qFormat/>
    <w:rsid w:val="00990320"/>
    <w:pPr>
      <w:spacing w:before="0" w:after="0"/>
    </w:pPr>
    <w:rPr/>
  </w:style>
  <w:style w:type="paragraph" w:styleId="NormalVieta" w:customStyle="1">
    <w:name w:val="Normal Viñeta"/>
    <w:basedOn w:val="Normal"/>
    <w:uiPriority w:val="99"/>
    <w:qFormat/>
    <w:rsid w:val="00990320"/>
    <w:pPr>
      <w:spacing w:before="0" w:after="0"/>
      <w:ind w:left="360" w:hanging="360"/>
    </w:pPr>
    <w:rPr>
      <w:color w:val="auto"/>
    </w:rPr>
  </w:style>
  <w:style w:type="paragraph" w:styleId="Vietascrculos" w:customStyle="1">
    <w:name w:val="Viñetas círculos"/>
    <w:basedOn w:val="Normal"/>
    <w:uiPriority w:val="99"/>
    <w:qFormat/>
    <w:rsid w:val="00990320"/>
    <w:pPr>
      <w:spacing w:before="0" w:after="120"/>
      <w:contextualSpacing/>
    </w:pPr>
    <w:rPr/>
  </w:style>
  <w:style w:type="paragraph" w:styleId="Numeracin" w:customStyle="1">
    <w:name w:val="Numeración"/>
    <w:basedOn w:val="Vietascrculos"/>
    <w:uiPriority w:val="99"/>
    <w:qFormat/>
    <w:rsid w:val="00990320"/>
    <w:pPr>
      <w:spacing w:before="0" w:after="0"/>
      <w:contextualSpacing/>
    </w:pPr>
    <w:rPr>
      <w:lang w:val="pt-BR"/>
    </w:rPr>
  </w:style>
  <w:style w:type="paragraph" w:styleId="Prrafodelista1" w:customStyle="1">
    <w:name w:val="Párrafo de lista1"/>
    <w:basedOn w:val="Normal"/>
    <w:uiPriority w:val="99"/>
    <w:qFormat/>
    <w:rsid w:val="00990320"/>
    <w:pPr>
      <w:spacing w:before="0" w:after="120"/>
      <w:ind w:left="720" w:firstLine="567"/>
      <w:contextualSpacing/>
    </w:pPr>
    <w:rPr/>
  </w:style>
  <w:style w:type="paragraph" w:styleId="Frasededespedida">
    <w:name w:val="Salutation"/>
    <w:basedOn w:val="Normal"/>
    <w:next w:val="Normal"/>
    <w:link w:val="SaludoCar"/>
    <w:uiPriority w:val="99"/>
    <w:rsid w:val="00990320"/>
    <w:pPr>
      <w:spacing w:before="0" w:after="0"/>
      <w:ind w:hanging="0"/>
      <w:jc w:val="left"/>
    </w:pPr>
    <w:rPr>
      <w:rFonts w:ascii="Times New Roman" w:hAnsi="Times New Roman"/>
      <w:color w:val="auto"/>
      <w:sz w:val="24"/>
      <w:lang w:val="es-ES" w:eastAsia="es-ES"/>
    </w:rPr>
  </w:style>
  <w:style w:type="paragraph" w:styleId="Style11" w:customStyle="1">
    <w:name w:val="style1"/>
    <w:basedOn w:val="Normal"/>
    <w:uiPriority w:val="99"/>
    <w:qFormat/>
    <w:rsid w:val="00990320"/>
    <w:pPr>
      <w:spacing w:beforeAutospacing="1" w:afterAutospacing="1"/>
      <w:ind w:hanging="0"/>
      <w:jc w:val="left"/>
    </w:pPr>
    <w:rPr>
      <w:rFonts w:ascii="Times New Roman" w:hAnsi="Times New Roman"/>
      <w:color w:val="auto"/>
      <w:sz w:val="24"/>
      <w:lang w:val="es-ES" w:eastAsia="es-ES"/>
    </w:rPr>
  </w:style>
  <w:style w:type="paragraph" w:styleId="Style21" w:customStyle="1">
    <w:name w:val="style2"/>
    <w:basedOn w:val="Normal"/>
    <w:uiPriority w:val="99"/>
    <w:qFormat/>
    <w:rsid w:val="00990320"/>
    <w:pPr>
      <w:spacing w:beforeAutospacing="1" w:afterAutospacing="1"/>
      <w:ind w:hanging="0"/>
      <w:jc w:val="left"/>
    </w:pPr>
    <w:rPr>
      <w:rFonts w:ascii="Times New Roman" w:hAnsi="Times New Roman"/>
      <w:color w:val="auto"/>
      <w:sz w:val="24"/>
      <w:lang w:val="es-ES" w:eastAsia="es-ES"/>
    </w:rPr>
  </w:style>
  <w:style w:type="paragraph" w:styleId="Tabla" w:customStyle="1">
    <w:name w:val="tabla"/>
    <w:basedOn w:val="Normal"/>
    <w:uiPriority w:val="99"/>
    <w:qFormat/>
    <w:rsid w:val="00990320"/>
    <w:pPr>
      <w:spacing w:beforeAutospacing="1" w:afterAutospacing="1"/>
    </w:pPr>
    <w:rPr>
      <w:rFonts w:ascii="Times New Roman" w:hAnsi="Times New Roman"/>
      <w:sz w:val="24"/>
      <w:lang w:val="es-ES" w:eastAsia="es-ES"/>
    </w:rPr>
  </w:style>
  <w:style w:type="paragraph" w:styleId="TablaImagenes" w:customStyle="1">
    <w:name w:val="Tabla-Imagenes"/>
    <w:basedOn w:val="Normal"/>
    <w:uiPriority w:val="99"/>
    <w:qFormat/>
    <w:rsid w:val="00990320"/>
    <w:pPr>
      <w:spacing w:before="0" w:after="0"/>
      <w:ind w:hanging="0"/>
      <w:jc w:val="center"/>
    </w:pPr>
    <w:rPr/>
  </w:style>
  <w:style w:type="paragraph" w:styleId="Sumario1">
    <w:name w:val="TOC 1"/>
    <w:basedOn w:val="Normal"/>
    <w:next w:val="Normal"/>
    <w:autoRedefine/>
    <w:uiPriority w:val="39"/>
    <w:rsid w:val="001b62bc"/>
    <w:pPr>
      <w:tabs>
        <w:tab w:val="clear" w:pos="357"/>
        <w:tab w:val="right" w:pos="9639" w:leader="dot"/>
      </w:tabs>
      <w:spacing w:before="0" w:after="0"/>
      <w:ind w:hanging="0"/>
      <w:jc w:val="left"/>
    </w:pPr>
    <w:rPr>
      <w:b/>
      <w:bCs/>
      <w:szCs w:val="20"/>
    </w:rPr>
  </w:style>
  <w:style w:type="paragraph" w:styleId="Sumario2">
    <w:name w:val="TOC 2"/>
    <w:basedOn w:val="Normal"/>
    <w:next w:val="Normal"/>
    <w:autoRedefine/>
    <w:uiPriority w:val="39"/>
    <w:rsid w:val="00990320"/>
    <w:pPr>
      <w:spacing w:before="0" w:after="0"/>
      <w:jc w:val="left"/>
    </w:pPr>
    <w:rPr>
      <w:i/>
      <w:iCs/>
      <w:szCs w:val="20"/>
    </w:rPr>
  </w:style>
  <w:style w:type="paragraph" w:styleId="Sumario3">
    <w:name w:val="TOC 3"/>
    <w:basedOn w:val="Normal"/>
    <w:next w:val="Normal"/>
    <w:autoRedefine/>
    <w:uiPriority w:val="39"/>
    <w:rsid w:val="00990320"/>
    <w:pPr>
      <w:spacing w:before="0" w:after="0"/>
      <w:ind w:firstLine="851"/>
      <w:jc w:val="left"/>
    </w:pPr>
    <w:rPr>
      <w:szCs w:val="20"/>
    </w:rPr>
  </w:style>
  <w:style w:type="paragraph" w:styleId="Sumario4">
    <w:name w:val="TOC 4"/>
    <w:basedOn w:val="Normal"/>
    <w:next w:val="Normal"/>
    <w:autoRedefine/>
    <w:uiPriority w:val="99"/>
    <w:rsid w:val="00990320"/>
    <w:pPr>
      <w:spacing w:before="0" w:after="0"/>
      <w:ind w:left="660" w:firstLine="567"/>
      <w:jc w:val="left"/>
    </w:pPr>
    <w:rPr>
      <w:sz w:val="20"/>
      <w:szCs w:val="20"/>
    </w:rPr>
  </w:style>
  <w:style w:type="paragraph" w:styleId="Sumario5">
    <w:name w:val="TOC 5"/>
    <w:basedOn w:val="Normal"/>
    <w:next w:val="Normal"/>
    <w:autoRedefine/>
    <w:uiPriority w:val="99"/>
    <w:rsid w:val="00990320"/>
    <w:pPr>
      <w:spacing w:before="0" w:after="0"/>
      <w:ind w:left="880" w:firstLine="567"/>
      <w:jc w:val="left"/>
    </w:pPr>
    <w:rPr>
      <w:sz w:val="20"/>
      <w:szCs w:val="20"/>
    </w:rPr>
  </w:style>
  <w:style w:type="paragraph" w:styleId="Sumario6">
    <w:name w:val="TOC 6"/>
    <w:basedOn w:val="Normal"/>
    <w:next w:val="Normal"/>
    <w:autoRedefine/>
    <w:uiPriority w:val="99"/>
    <w:rsid w:val="00990320"/>
    <w:pPr>
      <w:spacing w:before="0" w:after="0"/>
      <w:ind w:left="1100" w:firstLine="567"/>
      <w:jc w:val="left"/>
    </w:pPr>
    <w:rPr>
      <w:sz w:val="20"/>
      <w:szCs w:val="20"/>
    </w:rPr>
  </w:style>
  <w:style w:type="paragraph" w:styleId="Sumario7">
    <w:name w:val="TOC 7"/>
    <w:basedOn w:val="Normal"/>
    <w:next w:val="Normal"/>
    <w:autoRedefine/>
    <w:uiPriority w:val="99"/>
    <w:rsid w:val="00990320"/>
    <w:pPr>
      <w:spacing w:before="0" w:after="0"/>
      <w:ind w:left="1320" w:firstLine="567"/>
      <w:jc w:val="left"/>
    </w:pPr>
    <w:rPr>
      <w:sz w:val="20"/>
      <w:szCs w:val="20"/>
    </w:rPr>
  </w:style>
  <w:style w:type="paragraph" w:styleId="Sumario8">
    <w:name w:val="TOC 8"/>
    <w:basedOn w:val="Normal"/>
    <w:next w:val="Normal"/>
    <w:autoRedefine/>
    <w:uiPriority w:val="99"/>
    <w:rsid w:val="00990320"/>
    <w:pPr>
      <w:spacing w:before="0" w:after="0"/>
      <w:ind w:left="1540" w:firstLine="567"/>
      <w:jc w:val="left"/>
    </w:pPr>
    <w:rPr>
      <w:sz w:val="20"/>
      <w:szCs w:val="20"/>
    </w:rPr>
  </w:style>
  <w:style w:type="paragraph" w:styleId="Sumario9">
    <w:name w:val="TOC 9"/>
    <w:basedOn w:val="Normal"/>
    <w:next w:val="Normal"/>
    <w:autoRedefine/>
    <w:uiPriority w:val="99"/>
    <w:rsid w:val="00990320"/>
    <w:pPr>
      <w:spacing w:before="0" w:after="0"/>
      <w:ind w:left="1760" w:firstLine="567"/>
      <w:jc w:val="left"/>
    </w:pPr>
    <w:rPr>
      <w:sz w:val="20"/>
      <w:szCs w:val="20"/>
    </w:rPr>
  </w:style>
  <w:style w:type="paragraph" w:styleId="Annotationtext">
    <w:name w:val="annotation text"/>
    <w:basedOn w:val="Normal"/>
    <w:link w:val="TextocomentarioCar"/>
    <w:uiPriority w:val="99"/>
    <w:qFormat/>
    <w:rsid w:val="00990320"/>
    <w:pPr>
      <w:spacing w:before="0" w:after="0"/>
      <w:ind w:hanging="0"/>
      <w:jc w:val="left"/>
    </w:pPr>
    <w:rPr>
      <w:rFonts w:ascii="Times New Roman" w:hAnsi="Times New Roman"/>
      <w:color w:val="auto"/>
      <w:sz w:val="20"/>
      <w:szCs w:val="20"/>
      <w:lang w:val="es-ES" w:eastAsia="es-ES"/>
    </w:rPr>
  </w:style>
  <w:style w:type="paragraph" w:styleId="BodyTextFirstIndent2">
    <w:name w:val="Body Text First Indent 2"/>
    <w:basedOn w:val="Cuerpodetextoconsangra"/>
    <w:link w:val="Textoindependienteprimerasangra2Car"/>
    <w:uiPriority w:val="99"/>
    <w:qFormat/>
    <w:rsid w:val="00990320"/>
    <w:pPr>
      <w:ind w:left="283" w:firstLine="210"/>
    </w:pPr>
    <w:rPr/>
  </w:style>
  <w:style w:type="paragraph" w:styleId="Notafinal">
    <w:name w:val="Endnote Text"/>
    <w:basedOn w:val="Normal"/>
    <w:link w:val="TextonotaalfinalCar"/>
    <w:uiPriority w:val="99"/>
    <w:rsid w:val="00990320"/>
    <w:pPr>
      <w:spacing w:before="0" w:after="0"/>
    </w:pPr>
    <w:rPr>
      <w:sz w:val="20"/>
      <w:szCs w:val="20"/>
    </w:rPr>
  </w:style>
  <w:style w:type="paragraph" w:styleId="Notaalpie">
    <w:name w:val="Footnote Text"/>
    <w:basedOn w:val="Normal"/>
    <w:link w:val="TextonotapieCar"/>
    <w:uiPriority w:val="99"/>
    <w:rsid w:val="00990320"/>
    <w:pPr>
      <w:spacing w:before="0" w:after="0"/>
    </w:pPr>
    <w:rPr>
      <w:sz w:val="20"/>
      <w:szCs w:val="20"/>
    </w:rPr>
  </w:style>
  <w:style w:type="paragraph" w:styleId="PlainText">
    <w:name w:val="Plain Text"/>
    <w:basedOn w:val="Normal"/>
    <w:link w:val="TextosinformatoCar"/>
    <w:uiPriority w:val="99"/>
    <w:qFormat/>
    <w:rsid w:val="00990320"/>
    <w:pPr>
      <w:spacing w:before="0" w:after="0"/>
      <w:ind w:hanging="0"/>
      <w:jc w:val="left"/>
    </w:pPr>
    <w:rPr>
      <w:rFonts w:ascii="Courier New" w:hAnsi="Courier New" w:cs="Courier New"/>
      <w:color w:val="auto"/>
      <w:sz w:val="20"/>
      <w:szCs w:val="20"/>
      <w:lang w:val="es-ES" w:eastAsia="es-ES"/>
    </w:rPr>
  </w:style>
  <w:style w:type="paragraph" w:styleId="TOCHeading">
    <w:name w:val="TOC Heading"/>
    <w:basedOn w:val="Ttulo1"/>
    <w:next w:val="Normal"/>
    <w:uiPriority w:val="99"/>
    <w:qFormat/>
    <w:rsid w:val="00990320"/>
    <w:pPr>
      <w:keepLines/>
      <w:spacing w:lineRule="auto" w:line="276" w:before="480" w:after="0"/>
      <w:ind w:left="432" w:hanging="432"/>
      <w:jc w:val="left"/>
    </w:pPr>
    <w:rPr>
      <w:color w:val="365F91"/>
      <w:kern w:val="0"/>
      <w:sz w:val="28"/>
      <w:szCs w:val="28"/>
      <w:lang w:val="es-ES" w:eastAsia="en-US"/>
    </w:rPr>
  </w:style>
  <w:style w:type="paragraph" w:styleId="Titulos" w:customStyle="1">
    <w:name w:val="titulos"/>
    <w:basedOn w:val="Normal"/>
    <w:uiPriority w:val="99"/>
    <w:qFormat/>
    <w:rsid w:val="00990320"/>
    <w:pPr>
      <w:spacing w:beforeAutospacing="1" w:afterAutospacing="1"/>
    </w:pPr>
    <w:rPr>
      <w:rFonts w:ascii="Times New Roman" w:hAnsi="Times New Roman"/>
      <w:sz w:val="24"/>
      <w:lang w:val="es-ES" w:eastAsia="es-ES"/>
    </w:rPr>
  </w:style>
  <w:style w:type="paragraph" w:styleId="Vietasletras" w:customStyle="1">
    <w:name w:val="Viñetas letras"/>
    <w:basedOn w:val="Normal"/>
    <w:next w:val="Vietascrculos"/>
    <w:uiPriority w:val="99"/>
    <w:qFormat/>
    <w:rsid w:val="00990320"/>
    <w:pPr>
      <w:tabs>
        <w:tab w:val="clear" w:pos="357"/>
      </w:tabs>
      <w:spacing w:before="0" w:after="120"/>
      <w:ind w:left="720" w:firstLine="567"/>
      <w:contextualSpacing/>
    </w:pPr>
    <w:rPr/>
  </w:style>
  <w:style w:type="paragraph" w:styleId="Vietaslineas" w:customStyle="1">
    <w:name w:val="Viñetas lineas"/>
    <w:basedOn w:val="Vietascrculos"/>
    <w:uiPriority w:val="99"/>
    <w:qFormat/>
    <w:rsid w:val="00b17c8a"/>
    <w:pPr>
      <w:ind w:left="0" w:hanging="0"/>
    </w:pPr>
    <w:rPr/>
  </w:style>
  <w:style w:type="paragraph" w:styleId="Vietasnumeros" w:customStyle="1">
    <w:name w:val="Viñetas numeros"/>
    <w:basedOn w:val="Vietascrculos"/>
    <w:uiPriority w:val="99"/>
    <w:qFormat/>
    <w:rsid w:val="00990320"/>
    <w:pPr>
      <w:spacing w:before="0" w:after="0"/>
      <w:ind w:left="0" w:hanging="0"/>
      <w:contextualSpacing/>
    </w:pPr>
    <w:rPr>
      <w:lang w:val="pt-BR"/>
    </w:rPr>
  </w:style>
  <w:style w:type="paragraph" w:styleId="Annotationsubject">
    <w:name w:val="annotation subject"/>
    <w:basedOn w:val="Annotationtext"/>
    <w:next w:val="Annotationtext"/>
    <w:link w:val="AsuntodelcomentarioCar"/>
    <w:uiPriority w:val="99"/>
    <w:semiHidden/>
    <w:qFormat/>
    <w:rsid w:val="00f41330"/>
    <w:pPr>
      <w:spacing w:before="0" w:after="120"/>
      <w:ind w:firstLine="567"/>
      <w:jc w:val="both"/>
    </w:pPr>
    <w:rPr>
      <w:rFonts w:ascii="Calibri" w:hAnsi="Calibri"/>
      <w:b/>
      <w:bCs/>
      <w:color w:val="000000"/>
      <w:lang w:val="es-AR" w:eastAsia="es-A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Manejo">
    <w:name w:val="Manejo"/>
    <w:uiPriority w:val="99"/>
    <w:rsid w:val="00990320"/>
    <w:pPr>
      <w:spacing w:line="276" w:lineRule="auto"/>
      <w:jc w:val="center"/>
    </w:pPr>
    <w:rPr>
      <w:lang w:eastAsia="en-US"/>
      <w:color w:val="000000"/>
    </w:rPr>
    <w:tblPr>
      <w:tblInd w:w="0" w:type="dxa"/>
      <w:tblBorders>
        <w:insideH w:val="single" w:color="auto" w:sz="4" w:space="0"/>
      </w:tblBorders>
      <w:tblCellMar>
        <w:top w:w="0" w:type="dxa"/>
        <w:left w:w="108" w:type="dxa"/>
        <w:bottom w:w="0" w:type="dxa"/>
        <w:right w:w="108" w:type="dxa"/>
      </w:tblCellMar>
    </w:tblPr>
  </w:style>
  <w:style w:type="table" w:customStyle="1" w:styleId="Sombreadoclaro1">
    <w:name w:val="Sombreado claro1"/>
    <w:uiPriority w:val="99"/>
    <w:rsid w:val="00990320"/>
    <w:pPr>
      <w:jc w:val="center"/>
    </w:pPr>
    <w:rPr>
      <w:lang w:eastAsia="en-US"/>
      <w:color w:val="000000"/>
      <w:sz w:val="20"/>
      <w:szCs w:val="2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rPr/>
      <w:tblPr/>
      <w:tcPr>
        <w:tcBorders>
          <w:left w:val="nil"/>
          <w:right w:val="nil"/>
          <w:insideH w:val="nil"/>
          <w:insideV w:val="nil"/>
        </w:tcBorders>
        <w:shd w:val="clear" w:color="auto" w:fill="C0C0C0"/>
      </w:tcPr>
    </w:tblStylePr>
    <w:tblStylePr w:type="band1Horz">
      <w:rPr/>
      <w:tblPr/>
      <w:tcPr>
        <w:tcBorders>
          <w:left w:val="nil"/>
          <w:right w:val="nil"/>
          <w:insideH w:val="nil"/>
          <w:insideV w:val="nil"/>
        </w:tcBorders>
        <w:shd w:val="clear" w:color="auto" w:fill="C0C0C0"/>
      </w:tcPr>
    </w:tblStylePr>
  </w:style>
  <w:style w:type="table" w:customStyle="1" w:styleId="Sombreadoclaro2">
    <w:name w:val="Sombreado claro2"/>
    <w:uiPriority w:val="99"/>
    <w:rsid w:val="00990320"/>
    <w:pPr>
      <w:jc w:val="both"/>
    </w:pPr>
    <w:rPr>
      <w:lang w:eastAsia="en-US"/>
      <w:color w:val="000000"/>
      <w:sz w:val="20"/>
      <w:szCs w:val="20"/>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rPr/>
      <w:tblPr/>
      <w:tcPr>
        <w:tcBorders>
          <w:left w:val="nil"/>
          <w:right w:val="nil"/>
          <w:insideH w:val="nil"/>
          <w:insideV w:val="nil"/>
        </w:tcBorders>
        <w:shd w:val="clear" w:color="auto" w:fill="C0C0C0"/>
      </w:tcPr>
    </w:tblStylePr>
    <w:tblStylePr w:type="band1Horz">
      <w:rPr/>
      <w:tblPr/>
      <w:tcPr>
        <w:tcBorders>
          <w:left w:val="nil"/>
          <w:right w:val="nil"/>
          <w:insideH w:val="nil"/>
          <w:insideV w:val="nil"/>
        </w:tcBorders>
        <w:shd w:val="clear" w:color="auto" w:fill="C0C0C0"/>
      </w:tcPr>
    </w:tblStylePr>
  </w:style>
  <w:style w:type="table" w:styleId="Tablamoderna">
    <w:name w:val="Table Contemporary"/>
    <w:basedOn w:val="Tablanormal"/>
    <w:uiPriority w:val="99"/>
    <w:rsid w:val="00990320"/>
    <w:pPr>
      <w:spacing w:after="120"/>
      <w:jc w:val="both"/>
    </w:pPr>
    <w:rPr>
      <w:lang w:eastAsia="en-US"/>
      <w:color w:val="000000"/>
    </w:rPr>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concuadrcula">
    <w:name w:val="Table Grid"/>
    <w:basedOn w:val="Tablamoderna"/>
    <w:uiPriority w:val="99"/>
    <w:rsid w:val="00990320"/>
    <w:pPr>
      <w:spacing w:after="0"/>
    </w:pPr>
    <w:tblPr>
      <w:tblStyleRow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pn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A459F5-B7FE-415B-AC78-AC24D695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Application>LibreOffice/6.1.3.2$Windows_X86_64 LibreOffice_project/86daf60bf00efa86ad547e59e09d6bb77c699acb</Application>
  <Pages>28</Pages>
  <Words>7314</Words>
  <Characters>31666</Characters>
  <CharactersWithSpaces>36404</CharactersWithSpaces>
  <Paragraphs>2761</Paragraphs>
  <Company>eXPerienciaUE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2020-03-26T15:05:00Z</dcterms:created>
  <dc:creator>eXPertOS</dc:creator>
  <dc:description/>
  <dc:language>es-AR</dc:language>
  <cp:lastModifiedBy/>
  <cp:lastPrinted>2017-09-29T15:10:00Z</cp:lastPrinted>
  <dcterms:modified xsi:type="dcterms:W3CDTF">2020-04-14T15:34:47Z</dcterms:modified>
  <cp:revision>12</cp:revision>
  <dc:subject/>
  <dc:title>ECUACIÓN  UNIVERSAL DE PERDIDAS DE SUELO POR  EROSIÓN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eXPerienciaUE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